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mp" ContentType="image/png"/>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0F14D1" w14:paraId="4AE20450" w14:textId="77777777" w:rsidTr="00BF1CCE">
        <w:trPr>
          <w:cantSplit/>
        </w:trPr>
        <w:tc>
          <w:tcPr>
            <w:tcW w:w="2835" w:type="dxa"/>
            <w:shd w:val="clear" w:color="auto" w:fill="BFBFBF"/>
            <w:vAlign w:val="center"/>
          </w:tcPr>
          <w:p w14:paraId="4AE2044D" w14:textId="77777777" w:rsidR="00284E95" w:rsidRPr="00D4431F" w:rsidRDefault="00A01F9B"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4AE2044E" w14:textId="77777777" w:rsidR="00284E95" w:rsidRDefault="00A01F9B"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4AE2044F" w14:textId="77777777" w:rsidR="00284E95" w:rsidRPr="00D4431F" w:rsidRDefault="00A01F9B" w:rsidP="00BF1CCE">
            <w:pPr>
              <w:spacing w:line="240" w:lineRule="auto"/>
              <w:jc w:val="center"/>
              <w:rPr>
                <w:rFonts w:cstheme="minorHAnsi"/>
                <w:b/>
                <w:bCs/>
              </w:rPr>
            </w:pPr>
            <w:r>
              <w:rPr>
                <w:rFonts w:cstheme="minorHAnsi"/>
                <w:b/>
                <w:bCs/>
              </w:rPr>
              <w:t>Date</w:t>
            </w:r>
          </w:p>
        </w:tc>
      </w:tr>
      <w:tr w:rsidR="000F14D1" w14:paraId="4AE20456" w14:textId="77777777" w:rsidTr="00594129">
        <w:trPr>
          <w:cantSplit/>
          <w:trHeight w:val="668"/>
        </w:trPr>
        <w:tc>
          <w:tcPr>
            <w:tcW w:w="2835" w:type="dxa"/>
            <w:vAlign w:val="center"/>
          </w:tcPr>
          <w:p w14:paraId="439530CB" w14:textId="77777777" w:rsidR="000C252A" w:rsidRDefault="000C252A" w:rsidP="00BF1CCE">
            <w:pPr>
              <w:spacing w:after="0"/>
              <w:jc w:val="center"/>
            </w:pPr>
          </w:p>
          <w:p w14:paraId="4AE20451" w14:textId="2D80DC6E" w:rsidR="00284E95" w:rsidRPr="00ED4FF1" w:rsidRDefault="00244F92" w:rsidP="00BF1CCE">
            <w:pPr>
              <w:spacing w:after="0"/>
              <w:jc w:val="center"/>
            </w:pPr>
            <w:r>
              <w:fldChar w:fldCharType="begin"/>
            </w:r>
            <w:r>
              <w:instrText xml:space="preserve"> DOCPROPERTY  LeadDirector  \* MERGEFORMAT </w:instrText>
            </w:r>
            <w:r>
              <w:fldChar w:fldCharType="separate"/>
            </w:r>
            <w:r w:rsidR="00A01F9B" w:rsidRPr="00ED4FF1">
              <w:t>Director of Finance and Section 151 Officer</w:t>
            </w:r>
            <w:r>
              <w:fldChar w:fldCharType="end"/>
            </w:r>
          </w:p>
          <w:p w14:paraId="4AE20452" w14:textId="1B661CA7" w:rsidR="00284E95" w:rsidRPr="00ED4FF1" w:rsidRDefault="00284E95" w:rsidP="00BF1CCE">
            <w:pPr>
              <w:jc w:val="center"/>
            </w:pPr>
          </w:p>
        </w:tc>
        <w:tc>
          <w:tcPr>
            <w:tcW w:w="4678" w:type="dxa"/>
            <w:vAlign w:val="center"/>
          </w:tcPr>
          <w:p w14:paraId="55A4C75B" w14:textId="77777777" w:rsidR="000C252A" w:rsidRDefault="000C252A" w:rsidP="00BF1CCE">
            <w:pPr>
              <w:spacing w:line="240" w:lineRule="auto"/>
              <w:jc w:val="center"/>
              <w:rPr>
                <w:rFonts w:cstheme="minorHAnsi"/>
              </w:rPr>
            </w:pPr>
          </w:p>
          <w:p w14:paraId="4AE20453" w14:textId="6434B8DC" w:rsidR="00284E95" w:rsidRDefault="00A01F9B" w:rsidP="00BF1CCE">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Governance Committee</w:t>
            </w:r>
            <w:r w:rsidRPr="00ED4FF1">
              <w:rPr>
                <w:rFonts w:cstheme="minorHAnsi"/>
              </w:rPr>
              <w:fldChar w:fldCharType="end"/>
            </w:r>
          </w:p>
          <w:p w14:paraId="4AE20454" w14:textId="5B48CC2D" w:rsidR="00284E95" w:rsidRPr="00ED4FF1" w:rsidRDefault="00284E95" w:rsidP="00BF1CCE">
            <w:pPr>
              <w:spacing w:line="240" w:lineRule="auto"/>
              <w:jc w:val="center"/>
              <w:rPr>
                <w:rFonts w:cstheme="minorHAnsi"/>
              </w:rPr>
            </w:pPr>
          </w:p>
        </w:tc>
        <w:tc>
          <w:tcPr>
            <w:tcW w:w="2551" w:type="dxa"/>
            <w:vAlign w:val="center"/>
          </w:tcPr>
          <w:p w14:paraId="4AE20455" w14:textId="68D1FAC5" w:rsidR="00284E95" w:rsidRPr="00ED4FF1" w:rsidRDefault="00A01F9B" w:rsidP="000C252A">
            <w:pPr>
              <w:spacing w:line="240" w:lineRule="auto"/>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sidR="005346DE">
              <w:rPr>
                <w:rFonts w:cstheme="minorHAnsi"/>
              </w:rPr>
              <w:t>2</w:t>
            </w:r>
            <w:r w:rsidR="00B00FCE">
              <w:rPr>
                <w:rFonts w:cstheme="minorHAnsi"/>
              </w:rPr>
              <w:t>9th November</w:t>
            </w:r>
            <w:r w:rsidR="005346DE">
              <w:rPr>
                <w:rFonts w:cstheme="minorHAnsi"/>
              </w:rPr>
              <w:t xml:space="preserve"> </w:t>
            </w:r>
            <w:r>
              <w:rPr>
                <w:rFonts w:cstheme="minorHAnsi"/>
              </w:rPr>
              <w:t>2022</w:t>
            </w:r>
            <w:r>
              <w:rPr>
                <w:rFonts w:cstheme="minorHAnsi"/>
              </w:rPr>
              <w:fldChar w:fldCharType="end"/>
            </w:r>
          </w:p>
        </w:tc>
      </w:tr>
    </w:tbl>
    <w:p w14:paraId="4AE20457" w14:textId="77777777" w:rsidR="00CF42B2" w:rsidRDefault="00A01F9B" w:rsidP="002A4A7D">
      <w:pPr>
        <w:spacing w:after="0"/>
      </w:pPr>
      <w:r>
        <w:rPr>
          <w:rFonts w:cstheme="minorHAnsi"/>
          <w:b/>
          <w:bCs/>
          <w:noProof/>
        </w:rPr>
        <w:drawing>
          <wp:anchor distT="0" distB="0" distL="114300" distR="114300" simplePos="0" relativeHeight="251658240" behindDoc="0" locked="0" layoutInCell="1" allowOverlap="1" wp14:anchorId="4AE204AD" wp14:editId="4AE204AE">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18658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4AE2045C" w14:textId="77777777" w:rsidR="00284E95" w:rsidRDefault="00284E95" w:rsidP="002A4A7D">
      <w:pPr>
        <w:pStyle w:val="Heading1"/>
        <w:spacing w:before="0" w:beforeAutospacing="0"/>
        <w:rPr>
          <w:rFonts w:asciiTheme="majorHAnsi" w:hAnsiTheme="majorHAnsi" w:cstheme="majorHAnsi"/>
          <w:sz w:val="28"/>
          <w:szCs w:val="28"/>
        </w:rPr>
      </w:pPr>
    </w:p>
    <w:p w14:paraId="18FDBEB1" w14:textId="510A8718" w:rsidR="00B96A1E" w:rsidRDefault="004F6BE3" w:rsidP="00326BEE">
      <w:pPr>
        <w:pStyle w:val="Heading1"/>
        <w:spacing w:before="0" w:beforeAutospacing="0"/>
        <w:rPr>
          <w:rFonts w:asciiTheme="majorHAnsi" w:hAnsiTheme="majorHAnsi" w:cstheme="majorHAnsi"/>
          <w:sz w:val="28"/>
          <w:szCs w:val="28"/>
        </w:rPr>
      </w:pPr>
      <w:r>
        <w:rPr>
          <w:rFonts w:asciiTheme="majorHAnsi" w:hAnsiTheme="majorHAnsi" w:cstheme="majorHAnsi"/>
          <w:sz w:val="28"/>
          <w:szCs w:val="28"/>
        </w:rPr>
        <w:br/>
      </w:r>
      <w:r w:rsidR="00594129">
        <w:rPr>
          <w:rFonts w:asciiTheme="majorHAnsi" w:hAnsiTheme="majorHAnsi" w:cstheme="majorHAnsi"/>
          <w:sz w:val="28"/>
          <w:szCs w:val="28"/>
        </w:rPr>
        <w:t xml:space="preserve">TREASURY MANAGEMENT </w:t>
      </w:r>
      <w:r w:rsidR="00B00FCE">
        <w:rPr>
          <w:rFonts w:asciiTheme="majorHAnsi" w:hAnsiTheme="majorHAnsi" w:cstheme="majorHAnsi"/>
          <w:sz w:val="28"/>
          <w:szCs w:val="28"/>
        </w:rPr>
        <w:t>MID-YEAR REVIEW 2022/23</w:t>
      </w:r>
    </w:p>
    <w:tbl>
      <w:tblPr>
        <w:tblStyle w:val="TableGrid"/>
        <w:tblW w:w="9923" w:type="dxa"/>
        <w:tblInd w:w="-147" w:type="dxa"/>
        <w:tblLook w:val="04A0" w:firstRow="1" w:lastRow="0" w:firstColumn="1" w:lastColumn="0" w:noHBand="0" w:noVBand="1"/>
      </w:tblPr>
      <w:tblGrid>
        <w:gridCol w:w="4655"/>
        <w:gridCol w:w="5268"/>
      </w:tblGrid>
      <w:tr w:rsidR="00B96A1E" w14:paraId="675CCD76" w14:textId="77777777" w:rsidTr="00D61DD7">
        <w:tc>
          <w:tcPr>
            <w:tcW w:w="4655" w:type="dxa"/>
          </w:tcPr>
          <w:p w14:paraId="5AB6C254" w14:textId="77777777" w:rsidR="00B96A1E" w:rsidRPr="00B96A1E" w:rsidRDefault="00B96A1E" w:rsidP="00326BEE">
            <w:pPr>
              <w:pStyle w:val="Heading1"/>
              <w:spacing w:before="0" w:beforeAutospacing="0"/>
              <w:outlineLvl w:val="0"/>
              <w:rPr>
                <w:rFonts w:asciiTheme="majorHAnsi" w:hAnsiTheme="majorHAnsi" w:cstheme="majorHAnsi"/>
                <w:b w:val="0"/>
                <w:bCs w:val="0"/>
                <w:sz w:val="22"/>
                <w:szCs w:val="22"/>
              </w:rPr>
            </w:pPr>
            <w:r w:rsidRPr="00B96A1E">
              <w:rPr>
                <w:rFonts w:asciiTheme="majorHAnsi" w:hAnsiTheme="majorHAnsi" w:cstheme="majorHAnsi"/>
                <w:b w:val="0"/>
                <w:bCs w:val="0"/>
                <w:sz w:val="22"/>
                <w:szCs w:val="22"/>
              </w:rPr>
              <w:t>Is the report confidential ?</w:t>
            </w:r>
          </w:p>
          <w:p w14:paraId="04BA00B5" w14:textId="32BEBF1E" w:rsidR="00B96A1E" w:rsidRPr="00B96A1E" w:rsidRDefault="00B96A1E" w:rsidP="00326BEE">
            <w:pPr>
              <w:pStyle w:val="Heading1"/>
              <w:spacing w:before="0" w:beforeAutospacing="0"/>
              <w:outlineLvl w:val="0"/>
              <w:rPr>
                <w:rFonts w:asciiTheme="majorHAnsi" w:hAnsiTheme="majorHAnsi" w:cstheme="majorHAnsi"/>
                <w:b w:val="0"/>
                <w:bCs w:val="0"/>
                <w:sz w:val="22"/>
                <w:szCs w:val="22"/>
              </w:rPr>
            </w:pPr>
          </w:p>
        </w:tc>
        <w:tc>
          <w:tcPr>
            <w:tcW w:w="5268" w:type="dxa"/>
          </w:tcPr>
          <w:p w14:paraId="6EB9C238" w14:textId="0A76A779" w:rsidR="00B96A1E" w:rsidRPr="00B96A1E" w:rsidRDefault="00B96A1E" w:rsidP="00326BEE">
            <w:pPr>
              <w:pStyle w:val="Heading1"/>
              <w:spacing w:before="0" w:beforeAutospacing="0"/>
              <w:outlineLvl w:val="0"/>
              <w:rPr>
                <w:rFonts w:asciiTheme="majorHAnsi" w:hAnsiTheme="majorHAnsi" w:cstheme="majorHAnsi"/>
                <w:b w:val="0"/>
                <w:bCs w:val="0"/>
                <w:sz w:val="22"/>
                <w:szCs w:val="22"/>
              </w:rPr>
            </w:pPr>
            <w:r w:rsidRPr="00B96A1E">
              <w:rPr>
                <w:rFonts w:asciiTheme="majorHAnsi" w:hAnsiTheme="majorHAnsi" w:cstheme="majorHAnsi"/>
                <w:b w:val="0"/>
                <w:bCs w:val="0"/>
                <w:sz w:val="22"/>
                <w:szCs w:val="22"/>
              </w:rPr>
              <w:t>No</w:t>
            </w:r>
          </w:p>
        </w:tc>
      </w:tr>
      <w:tr w:rsidR="00B96A1E" w14:paraId="648DF024" w14:textId="77777777" w:rsidTr="00D61DD7">
        <w:tc>
          <w:tcPr>
            <w:tcW w:w="4655" w:type="dxa"/>
          </w:tcPr>
          <w:p w14:paraId="231FE3A6" w14:textId="77777777" w:rsidR="00B96A1E" w:rsidRPr="00B96A1E" w:rsidRDefault="00B96A1E" w:rsidP="00326BEE">
            <w:pPr>
              <w:pStyle w:val="Heading1"/>
              <w:spacing w:before="0" w:beforeAutospacing="0"/>
              <w:outlineLvl w:val="0"/>
              <w:rPr>
                <w:rFonts w:asciiTheme="majorHAnsi" w:hAnsiTheme="majorHAnsi" w:cstheme="majorHAnsi"/>
                <w:b w:val="0"/>
                <w:bCs w:val="0"/>
                <w:sz w:val="22"/>
                <w:szCs w:val="22"/>
              </w:rPr>
            </w:pPr>
            <w:r w:rsidRPr="00B96A1E">
              <w:rPr>
                <w:rFonts w:asciiTheme="majorHAnsi" w:hAnsiTheme="majorHAnsi" w:cstheme="majorHAnsi"/>
                <w:b w:val="0"/>
                <w:bCs w:val="0"/>
                <w:sz w:val="22"/>
                <w:szCs w:val="22"/>
              </w:rPr>
              <w:t>Is the decision key ?</w:t>
            </w:r>
          </w:p>
          <w:p w14:paraId="6E431017" w14:textId="304A07F4" w:rsidR="00B96A1E" w:rsidRPr="00B96A1E" w:rsidRDefault="00B96A1E" w:rsidP="00326BEE">
            <w:pPr>
              <w:pStyle w:val="Heading1"/>
              <w:spacing w:before="0" w:beforeAutospacing="0"/>
              <w:outlineLvl w:val="0"/>
              <w:rPr>
                <w:rFonts w:asciiTheme="majorHAnsi" w:hAnsiTheme="majorHAnsi" w:cstheme="majorHAnsi"/>
                <w:b w:val="0"/>
                <w:bCs w:val="0"/>
                <w:sz w:val="22"/>
                <w:szCs w:val="22"/>
              </w:rPr>
            </w:pPr>
          </w:p>
        </w:tc>
        <w:tc>
          <w:tcPr>
            <w:tcW w:w="5268" w:type="dxa"/>
          </w:tcPr>
          <w:p w14:paraId="1DCD3599" w14:textId="7487FB4B" w:rsidR="00B96A1E" w:rsidRPr="00B96A1E" w:rsidRDefault="00B96A1E" w:rsidP="00326BEE">
            <w:pPr>
              <w:pStyle w:val="Heading1"/>
              <w:spacing w:before="0" w:beforeAutospacing="0"/>
              <w:outlineLvl w:val="0"/>
              <w:rPr>
                <w:rFonts w:asciiTheme="majorHAnsi" w:hAnsiTheme="majorHAnsi" w:cstheme="majorHAnsi"/>
                <w:b w:val="0"/>
                <w:bCs w:val="0"/>
                <w:sz w:val="22"/>
                <w:szCs w:val="22"/>
              </w:rPr>
            </w:pPr>
            <w:r w:rsidRPr="00B96A1E">
              <w:rPr>
                <w:rFonts w:asciiTheme="majorHAnsi" w:hAnsiTheme="majorHAnsi" w:cstheme="majorHAnsi"/>
                <w:b w:val="0"/>
                <w:bCs w:val="0"/>
                <w:sz w:val="22"/>
                <w:szCs w:val="22"/>
              </w:rPr>
              <w:t>No</w:t>
            </w:r>
          </w:p>
        </w:tc>
      </w:tr>
    </w:tbl>
    <w:p w14:paraId="4C6DE12A" w14:textId="1BED8DF8" w:rsidR="004D43A1" w:rsidRPr="000A5EC7" w:rsidRDefault="004D43A1" w:rsidP="00B96A1E">
      <w:pPr>
        <w:pStyle w:val="Heading1"/>
        <w:spacing w:before="0" w:beforeAutospacing="0"/>
        <w:rPr>
          <w:rFonts w:asciiTheme="minorHAnsi" w:hAnsiTheme="minorHAnsi" w:cstheme="minorHAnsi"/>
          <w:sz w:val="22"/>
        </w:rPr>
      </w:pPr>
    </w:p>
    <w:tbl>
      <w:tblPr>
        <w:tblW w:w="0" w:type="auto"/>
        <w:tblLook w:val="01E0" w:firstRow="1" w:lastRow="1" w:firstColumn="1" w:lastColumn="1" w:noHBand="0" w:noVBand="0"/>
      </w:tblPr>
      <w:tblGrid>
        <w:gridCol w:w="9639"/>
      </w:tblGrid>
      <w:tr w:rsidR="00B00FCE" w:rsidRPr="000A5EC7" w14:paraId="45452BF6" w14:textId="77777777" w:rsidTr="002B1B31">
        <w:tc>
          <w:tcPr>
            <w:tcW w:w="9639" w:type="dxa"/>
          </w:tcPr>
          <w:p w14:paraId="410A5AAB" w14:textId="4F3DEA8E" w:rsidR="00F729B1" w:rsidRPr="00F729B1" w:rsidRDefault="00B00FCE" w:rsidP="00F729B1">
            <w:pPr>
              <w:pStyle w:val="Heading2"/>
              <w:rPr>
                <w:rFonts w:asciiTheme="minorHAnsi" w:hAnsiTheme="minorHAnsi" w:cstheme="minorHAnsi"/>
                <w:sz w:val="22"/>
                <w:szCs w:val="22"/>
              </w:rPr>
            </w:pPr>
            <w:r w:rsidRPr="000A5EC7">
              <w:rPr>
                <w:rFonts w:asciiTheme="minorHAnsi" w:hAnsiTheme="minorHAnsi" w:cstheme="minorHAnsi"/>
                <w:sz w:val="22"/>
                <w:szCs w:val="22"/>
              </w:rPr>
              <w:t>Purpose of report</w:t>
            </w:r>
          </w:p>
        </w:tc>
      </w:tr>
      <w:tr w:rsidR="00B00FCE" w:rsidRPr="000A5EC7" w14:paraId="21E24FD3" w14:textId="77777777" w:rsidTr="002B1B31">
        <w:tc>
          <w:tcPr>
            <w:tcW w:w="9639" w:type="dxa"/>
          </w:tcPr>
          <w:p w14:paraId="2B76E72A" w14:textId="77777777" w:rsidR="00350CD2" w:rsidRDefault="00350CD2" w:rsidP="00350CD2">
            <w:pPr>
              <w:pBdr>
                <w:top w:val="single" w:sz="2" w:space="0" w:color="FFFFFF"/>
                <w:left w:val="single" w:sz="2" w:space="0" w:color="FFFFFF"/>
                <w:bottom w:val="single" w:sz="2" w:space="2" w:color="FFFFFF"/>
                <w:right w:val="single" w:sz="2" w:space="4" w:color="FFFFFF"/>
              </w:pBdr>
              <w:spacing w:after="0" w:line="240" w:lineRule="auto"/>
              <w:ind w:left="567" w:right="141"/>
              <w:jc w:val="both"/>
              <w:rPr>
                <w:rFonts w:cstheme="minorHAnsi"/>
              </w:rPr>
            </w:pPr>
          </w:p>
          <w:p w14:paraId="6522AF05" w14:textId="4F1827A9" w:rsidR="00B00FCE" w:rsidRPr="00350CD2" w:rsidRDefault="00B00FCE" w:rsidP="00915500">
            <w:pPr>
              <w:numPr>
                <w:ilvl w:val="0"/>
                <w:numId w:val="20"/>
              </w:numPr>
              <w:pBdr>
                <w:top w:val="single" w:sz="2" w:space="0" w:color="FFFFFF"/>
                <w:left w:val="single" w:sz="2" w:space="0" w:color="FFFFFF"/>
                <w:bottom w:val="single" w:sz="2" w:space="2" w:color="FFFFFF"/>
                <w:right w:val="single" w:sz="2" w:space="4" w:color="FFFFFF"/>
              </w:pBdr>
              <w:tabs>
                <w:tab w:val="left" w:pos="567"/>
              </w:tabs>
              <w:spacing w:after="0" w:line="240" w:lineRule="auto"/>
              <w:ind w:right="141"/>
              <w:jc w:val="both"/>
              <w:rPr>
                <w:rFonts w:cstheme="minorHAnsi"/>
              </w:rPr>
            </w:pPr>
            <w:r w:rsidRPr="00350CD2">
              <w:rPr>
                <w:rFonts w:cstheme="minorHAnsi"/>
              </w:rPr>
              <w:t>To report on Treasury Management performance and compliance with Prudential Indicators for the period ended 30</w:t>
            </w:r>
            <w:r w:rsidRPr="00350CD2">
              <w:rPr>
                <w:rFonts w:cstheme="minorHAnsi"/>
                <w:vertAlign w:val="superscript"/>
              </w:rPr>
              <w:t>th</w:t>
            </w:r>
            <w:r w:rsidRPr="00350CD2">
              <w:rPr>
                <w:rFonts w:cstheme="minorHAnsi"/>
              </w:rPr>
              <w:t xml:space="preserve"> September 2022.</w:t>
            </w:r>
          </w:p>
          <w:p w14:paraId="2C665052" w14:textId="77777777" w:rsidR="00350CD2" w:rsidRDefault="00350CD2" w:rsidP="00350CD2">
            <w:pPr>
              <w:pBdr>
                <w:top w:val="single" w:sz="2" w:space="0" w:color="FFFFFF"/>
                <w:left w:val="single" w:sz="2" w:space="0" w:color="FFFFFF"/>
                <w:bottom w:val="single" w:sz="2" w:space="2" w:color="FFFFFF"/>
                <w:right w:val="single" w:sz="2" w:space="4" w:color="FFFFFF"/>
              </w:pBdr>
              <w:spacing w:after="0" w:line="240" w:lineRule="auto"/>
              <w:ind w:left="567" w:right="141"/>
              <w:jc w:val="both"/>
              <w:rPr>
                <w:rFonts w:cstheme="minorHAnsi"/>
              </w:rPr>
            </w:pPr>
          </w:p>
          <w:p w14:paraId="1C105021" w14:textId="77777777" w:rsidR="00B00FCE" w:rsidRDefault="00B00FCE" w:rsidP="00350CD2">
            <w:pPr>
              <w:numPr>
                <w:ilvl w:val="0"/>
                <w:numId w:val="20"/>
              </w:numPr>
              <w:pBdr>
                <w:top w:val="single" w:sz="2" w:space="0" w:color="FFFFFF"/>
                <w:left w:val="single" w:sz="2" w:space="0" w:color="FFFFFF"/>
                <w:bottom w:val="single" w:sz="2" w:space="2" w:color="FFFFFF"/>
                <w:right w:val="single" w:sz="2" w:space="4" w:color="FFFFFF"/>
              </w:pBdr>
              <w:spacing w:after="0" w:line="240" w:lineRule="auto"/>
              <w:ind w:right="141"/>
              <w:jc w:val="both"/>
              <w:rPr>
                <w:rFonts w:cstheme="minorHAnsi"/>
              </w:rPr>
            </w:pPr>
            <w:r w:rsidRPr="000A5EC7">
              <w:rPr>
                <w:rFonts w:cstheme="minorHAnsi"/>
              </w:rPr>
              <w:t>To present monitoring figures for the quarter ended 30</w:t>
            </w:r>
            <w:r w:rsidRPr="000A5EC7">
              <w:rPr>
                <w:rFonts w:cstheme="minorHAnsi"/>
                <w:vertAlign w:val="superscript"/>
              </w:rPr>
              <w:t>th</w:t>
            </w:r>
            <w:r w:rsidRPr="000A5EC7">
              <w:rPr>
                <w:rFonts w:cstheme="minorHAnsi"/>
              </w:rPr>
              <w:t xml:space="preserve"> September 2022, including updated interest rate forecasts from Link Asset Services.</w:t>
            </w:r>
          </w:p>
          <w:p w14:paraId="0C3D2C8A" w14:textId="087C1A79" w:rsidR="00350CD2" w:rsidRPr="000A5EC7" w:rsidRDefault="00350CD2" w:rsidP="00350CD2">
            <w:pPr>
              <w:pBdr>
                <w:top w:val="single" w:sz="2" w:space="0" w:color="FFFFFF"/>
                <w:left w:val="single" w:sz="2" w:space="0" w:color="FFFFFF"/>
                <w:bottom w:val="single" w:sz="2" w:space="2" w:color="FFFFFF"/>
                <w:right w:val="single" w:sz="2" w:space="4" w:color="FFFFFF"/>
              </w:pBdr>
              <w:spacing w:after="0" w:line="240" w:lineRule="auto"/>
              <w:ind w:right="141"/>
              <w:jc w:val="both"/>
              <w:rPr>
                <w:rFonts w:cstheme="minorHAnsi"/>
              </w:rPr>
            </w:pPr>
          </w:p>
        </w:tc>
      </w:tr>
      <w:tr w:rsidR="00B00FCE" w:rsidRPr="000A5EC7" w14:paraId="71754A56" w14:textId="77777777" w:rsidTr="002B1B31">
        <w:tc>
          <w:tcPr>
            <w:tcW w:w="9639" w:type="dxa"/>
          </w:tcPr>
          <w:p w14:paraId="30741C7A" w14:textId="428CCD02" w:rsidR="00B00FCE" w:rsidRPr="000A5EC7" w:rsidRDefault="00B00FCE" w:rsidP="00350CD2">
            <w:pPr>
              <w:pStyle w:val="Heading2"/>
              <w:pBdr>
                <w:top w:val="single" w:sz="2" w:space="1" w:color="FFFFFF"/>
                <w:left w:val="single" w:sz="2" w:space="0" w:color="FFFFFF"/>
                <w:bottom w:val="single" w:sz="2" w:space="2" w:color="FFFFFF"/>
                <w:right w:val="single" w:sz="2" w:space="4" w:color="FFFFFF"/>
              </w:pBdr>
              <w:rPr>
                <w:rFonts w:asciiTheme="minorHAnsi" w:hAnsiTheme="minorHAnsi" w:cstheme="minorHAnsi"/>
              </w:rPr>
            </w:pPr>
            <w:r w:rsidRPr="000A5EC7">
              <w:rPr>
                <w:rFonts w:asciiTheme="minorHAnsi" w:hAnsiTheme="minorHAnsi" w:cstheme="minorHAnsi"/>
                <w:sz w:val="22"/>
                <w:szCs w:val="22"/>
              </w:rPr>
              <w:t>Recommendation to Governance Committee</w:t>
            </w:r>
          </w:p>
        </w:tc>
      </w:tr>
      <w:tr w:rsidR="00B00FCE" w:rsidRPr="000A5EC7" w14:paraId="2FD6A5D8" w14:textId="77777777" w:rsidTr="002B1B31">
        <w:tc>
          <w:tcPr>
            <w:tcW w:w="9639" w:type="dxa"/>
          </w:tcPr>
          <w:p w14:paraId="427EC8F0" w14:textId="77777777" w:rsidR="00350CD2" w:rsidRDefault="00350CD2" w:rsidP="00350CD2">
            <w:pPr>
              <w:pBdr>
                <w:top w:val="single" w:sz="2" w:space="1" w:color="FFFFFF"/>
                <w:left w:val="single" w:sz="2" w:space="0" w:color="FFFFFF"/>
                <w:bottom w:val="single" w:sz="2" w:space="2" w:color="FFFFFF"/>
                <w:right w:val="single" w:sz="2" w:space="4" w:color="FFFFFF"/>
              </w:pBdr>
              <w:spacing w:after="0" w:line="240" w:lineRule="auto"/>
              <w:ind w:left="567" w:right="141"/>
              <w:jc w:val="both"/>
              <w:rPr>
                <w:rFonts w:cstheme="minorHAnsi"/>
              </w:rPr>
            </w:pPr>
          </w:p>
          <w:p w14:paraId="5F4C78BC" w14:textId="5DE11914" w:rsidR="00350CD2" w:rsidRPr="00350CD2" w:rsidRDefault="00B00FCE" w:rsidP="002B0D62">
            <w:pPr>
              <w:numPr>
                <w:ilvl w:val="0"/>
                <w:numId w:val="20"/>
              </w:numPr>
              <w:pBdr>
                <w:top w:val="single" w:sz="2" w:space="1" w:color="FFFFFF"/>
                <w:left w:val="single" w:sz="2" w:space="0" w:color="FFFFFF"/>
                <w:bottom w:val="single" w:sz="2" w:space="2" w:color="FFFFFF"/>
                <w:right w:val="single" w:sz="2" w:space="4" w:color="FFFFFF"/>
              </w:pBdr>
              <w:spacing w:after="0" w:line="240" w:lineRule="auto"/>
              <w:ind w:right="141"/>
              <w:jc w:val="both"/>
              <w:rPr>
                <w:rFonts w:cstheme="minorHAnsi"/>
                <w:b/>
                <w:bCs/>
              </w:rPr>
            </w:pPr>
            <w:r w:rsidRPr="00350CD2">
              <w:rPr>
                <w:rFonts w:cstheme="minorHAnsi"/>
              </w:rPr>
              <w:t>That the report be noted.</w:t>
            </w:r>
          </w:p>
          <w:p w14:paraId="1F8BFD05" w14:textId="77777777" w:rsidR="00350CD2" w:rsidRPr="00350CD2" w:rsidRDefault="00350CD2" w:rsidP="00350CD2">
            <w:pPr>
              <w:pBdr>
                <w:top w:val="single" w:sz="2" w:space="1" w:color="FFFFFF"/>
                <w:left w:val="single" w:sz="2" w:space="0" w:color="FFFFFF"/>
                <w:bottom w:val="single" w:sz="2" w:space="2" w:color="FFFFFF"/>
                <w:right w:val="single" w:sz="2" w:space="4" w:color="FFFFFF"/>
              </w:pBdr>
              <w:spacing w:after="0" w:line="240" w:lineRule="auto"/>
              <w:ind w:left="567" w:right="141"/>
              <w:jc w:val="both"/>
              <w:rPr>
                <w:rFonts w:cstheme="minorHAnsi"/>
                <w:b/>
                <w:bCs/>
              </w:rPr>
            </w:pPr>
          </w:p>
          <w:p w14:paraId="20958C3D" w14:textId="2CB96460" w:rsidR="00B00FCE" w:rsidRPr="000A5EC7" w:rsidRDefault="00B00FCE" w:rsidP="00350CD2">
            <w:pPr>
              <w:pBdr>
                <w:top w:val="single" w:sz="2" w:space="1" w:color="FFFFFF"/>
                <w:left w:val="single" w:sz="2" w:space="0" w:color="FFFFFF"/>
                <w:bottom w:val="single" w:sz="2" w:space="2" w:color="FFFFFF"/>
                <w:right w:val="single" w:sz="2" w:space="4" w:color="FFFFFF"/>
              </w:pBdr>
              <w:ind w:right="141"/>
              <w:rPr>
                <w:rFonts w:cstheme="minorHAnsi"/>
                <w:b/>
                <w:bCs/>
              </w:rPr>
            </w:pPr>
            <w:r w:rsidRPr="000A5EC7">
              <w:rPr>
                <w:rFonts w:cstheme="minorHAnsi"/>
                <w:b/>
                <w:bCs/>
              </w:rPr>
              <w:t>Reasons for recommendations</w:t>
            </w:r>
          </w:p>
          <w:p w14:paraId="2254FF6C" w14:textId="77777777" w:rsidR="00B00FCE" w:rsidRPr="000A5EC7" w:rsidRDefault="00B00FCE" w:rsidP="00B00FCE">
            <w:pPr>
              <w:pStyle w:val="ListParagraph"/>
              <w:numPr>
                <w:ilvl w:val="0"/>
                <w:numId w:val="20"/>
              </w:numPr>
              <w:jc w:val="both"/>
              <w:rPr>
                <w:rFonts w:cstheme="minorHAnsi"/>
              </w:rPr>
            </w:pPr>
            <w:r w:rsidRPr="000A5EC7">
              <w:rPr>
                <w:rFonts w:cstheme="minorHAnsi"/>
              </w:rPr>
              <w:t>Production of a Mid-Year Report is a requirement under the Treasury Management Code of Practice.</w:t>
            </w:r>
          </w:p>
          <w:p w14:paraId="31D79D63" w14:textId="77777777" w:rsidR="00B00FCE" w:rsidRPr="000A5EC7" w:rsidRDefault="00B00FCE" w:rsidP="002B1B31">
            <w:pPr>
              <w:pStyle w:val="ListParagraph"/>
              <w:ind w:left="567"/>
              <w:rPr>
                <w:rFonts w:cstheme="minorHAnsi"/>
              </w:rPr>
            </w:pPr>
          </w:p>
          <w:p w14:paraId="37BDBFEC" w14:textId="77777777" w:rsidR="00B00FCE" w:rsidRPr="000A5EC7" w:rsidRDefault="00B00FCE" w:rsidP="002B1B31">
            <w:pPr>
              <w:pStyle w:val="ListParagraph"/>
              <w:ind w:left="38"/>
              <w:rPr>
                <w:rFonts w:cstheme="minorHAnsi"/>
                <w:b/>
                <w:bCs/>
              </w:rPr>
            </w:pPr>
            <w:r w:rsidRPr="000A5EC7">
              <w:rPr>
                <w:rFonts w:cstheme="minorHAnsi"/>
                <w:b/>
                <w:bCs/>
              </w:rPr>
              <w:t>Other options considered and rejected</w:t>
            </w:r>
          </w:p>
          <w:p w14:paraId="05789C3A" w14:textId="77777777" w:rsidR="00B00FCE" w:rsidRPr="000A5EC7" w:rsidRDefault="00B00FCE" w:rsidP="002B1B31">
            <w:pPr>
              <w:pStyle w:val="ListParagraph"/>
              <w:ind w:left="38"/>
              <w:rPr>
                <w:rFonts w:cstheme="minorHAnsi"/>
              </w:rPr>
            </w:pPr>
          </w:p>
          <w:p w14:paraId="7F0E083A" w14:textId="77777777" w:rsidR="00B00FCE" w:rsidRPr="000A5EC7" w:rsidRDefault="00B00FCE" w:rsidP="00B00FCE">
            <w:pPr>
              <w:pStyle w:val="ListParagraph"/>
              <w:numPr>
                <w:ilvl w:val="0"/>
                <w:numId w:val="20"/>
              </w:numPr>
              <w:jc w:val="both"/>
              <w:rPr>
                <w:rFonts w:cstheme="minorHAnsi"/>
              </w:rPr>
            </w:pPr>
            <w:r w:rsidRPr="000A5EC7">
              <w:rPr>
                <w:rFonts w:cstheme="minorHAnsi"/>
              </w:rPr>
              <w:t>Not applicable</w:t>
            </w:r>
          </w:p>
          <w:p w14:paraId="585E8AE3" w14:textId="77777777" w:rsidR="00B00FCE" w:rsidRPr="000A5EC7" w:rsidRDefault="00B00FCE" w:rsidP="002B1B31">
            <w:pPr>
              <w:pStyle w:val="ListParagraph"/>
              <w:ind w:left="567"/>
              <w:rPr>
                <w:rFonts w:cstheme="minorHAnsi"/>
              </w:rPr>
            </w:pPr>
          </w:p>
          <w:p w14:paraId="3E02FD02" w14:textId="77777777" w:rsidR="00B00FCE" w:rsidRPr="000A5EC7" w:rsidRDefault="00B00FCE" w:rsidP="002B1B31">
            <w:pPr>
              <w:spacing w:after="160" w:line="259" w:lineRule="auto"/>
              <w:rPr>
                <w:rFonts w:cstheme="minorHAnsi"/>
                <w:b/>
                <w:bCs/>
              </w:rPr>
            </w:pPr>
            <w:r w:rsidRPr="000A5EC7">
              <w:rPr>
                <w:rFonts w:cstheme="minorHAnsi"/>
                <w:b/>
                <w:bCs/>
              </w:rPr>
              <w:t>Corporate priorities</w:t>
            </w:r>
          </w:p>
          <w:p w14:paraId="53564660" w14:textId="0A88A9DC" w:rsidR="00B00FCE" w:rsidRPr="000A5EC7" w:rsidRDefault="00B00FCE" w:rsidP="00B00FCE">
            <w:pPr>
              <w:pStyle w:val="ListParagraph"/>
              <w:numPr>
                <w:ilvl w:val="0"/>
                <w:numId w:val="20"/>
              </w:numPr>
              <w:jc w:val="both"/>
              <w:rPr>
                <w:rFonts w:cstheme="minorHAnsi"/>
              </w:rPr>
            </w:pPr>
            <w:r w:rsidRPr="000A5EC7">
              <w:rPr>
                <w:rFonts w:cstheme="minorHAnsi"/>
              </w:rPr>
              <w:t>The report relates to the following corporate priorities:</w:t>
            </w:r>
          </w:p>
        </w:tc>
      </w:tr>
    </w:tbl>
    <w:p w14:paraId="4AE2047B" w14:textId="77777777" w:rsidR="002A4A7D" w:rsidRPr="000A5EC7" w:rsidRDefault="002A4A7D"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0F14D1" w:rsidRPr="000A5EC7" w14:paraId="4AE2047E" w14:textId="77777777" w:rsidTr="00BF1CCE">
        <w:tc>
          <w:tcPr>
            <w:tcW w:w="4848" w:type="dxa"/>
            <w:shd w:val="clear" w:color="auto" w:fill="auto"/>
            <w:vAlign w:val="center"/>
          </w:tcPr>
          <w:p w14:paraId="4AE2047C" w14:textId="77777777" w:rsidR="001073DC" w:rsidRPr="000A5EC7" w:rsidRDefault="00A01F9B" w:rsidP="00BF1CCE">
            <w:pPr>
              <w:spacing w:line="240" w:lineRule="auto"/>
              <w:jc w:val="center"/>
              <w:rPr>
                <w:rFonts w:cstheme="minorHAnsi"/>
                <w:b/>
              </w:rPr>
            </w:pPr>
            <w:r w:rsidRPr="000A5EC7">
              <w:rPr>
                <w:rFonts w:cstheme="minorHAnsi"/>
                <w:b/>
              </w:rPr>
              <w:t>An exemplary council</w:t>
            </w:r>
          </w:p>
        </w:tc>
        <w:tc>
          <w:tcPr>
            <w:tcW w:w="4678" w:type="dxa"/>
            <w:vAlign w:val="center"/>
          </w:tcPr>
          <w:p w14:paraId="4AE2047D" w14:textId="77777777" w:rsidR="001073DC" w:rsidRPr="000A5EC7" w:rsidRDefault="00A01F9B" w:rsidP="00BF1CCE">
            <w:pPr>
              <w:spacing w:line="240" w:lineRule="auto"/>
              <w:jc w:val="center"/>
              <w:rPr>
                <w:rFonts w:cstheme="minorHAnsi"/>
                <w:b/>
              </w:rPr>
            </w:pPr>
            <w:r w:rsidRPr="000A5EC7">
              <w:rPr>
                <w:rFonts w:cstheme="minorHAnsi"/>
                <w:b/>
              </w:rPr>
              <w:t>Thriving communities</w:t>
            </w:r>
          </w:p>
        </w:tc>
      </w:tr>
      <w:tr w:rsidR="000F14D1" w:rsidRPr="000A5EC7" w14:paraId="4AE20481" w14:textId="77777777" w:rsidTr="00BF1CCE">
        <w:tc>
          <w:tcPr>
            <w:tcW w:w="4848" w:type="dxa"/>
            <w:shd w:val="clear" w:color="auto" w:fill="auto"/>
            <w:vAlign w:val="center"/>
          </w:tcPr>
          <w:p w14:paraId="4AE2047F" w14:textId="77777777" w:rsidR="001073DC" w:rsidRPr="000A5EC7" w:rsidRDefault="00A01F9B" w:rsidP="00BF1CCE">
            <w:pPr>
              <w:spacing w:line="240" w:lineRule="auto"/>
              <w:jc w:val="center"/>
              <w:rPr>
                <w:rFonts w:cstheme="minorHAnsi"/>
                <w:b/>
              </w:rPr>
            </w:pPr>
            <w:r w:rsidRPr="000A5EC7">
              <w:rPr>
                <w:rFonts w:cstheme="minorHAnsi"/>
                <w:b/>
              </w:rPr>
              <w:t>A fair local economy that works for everyone</w:t>
            </w:r>
          </w:p>
        </w:tc>
        <w:tc>
          <w:tcPr>
            <w:tcW w:w="4678" w:type="dxa"/>
            <w:vAlign w:val="center"/>
          </w:tcPr>
          <w:p w14:paraId="4AE20480" w14:textId="77777777" w:rsidR="001073DC" w:rsidRPr="000A5EC7" w:rsidRDefault="00A01F9B" w:rsidP="00BF1CCE">
            <w:pPr>
              <w:spacing w:line="240" w:lineRule="auto"/>
              <w:jc w:val="center"/>
              <w:rPr>
                <w:rFonts w:cstheme="minorHAnsi"/>
                <w:b/>
              </w:rPr>
            </w:pPr>
            <w:r w:rsidRPr="000A5EC7">
              <w:rPr>
                <w:rFonts w:cstheme="minorHAnsi"/>
                <w:b/>
              </w:rPr>
              <w:t>Good homes, green spaces, healthy places</w:t>
            </w:r>
          </w:p>
        </w:tc>
      </w:tr>
    </w:tbl>
    <w:p w14:paraId="4AE20482" w14:textId="7E3CE550" w:rsidR="000179AF" w:rsidRDefault="000179AF" w:rsidP="000179AF">
      <w:pPr>
        <w:spacing w:line="240" w:lineRule="auto"/>
        <w:jc w:val="both"/>
        <w:rPr>
          <w:rFonts w:cstheme="minorHAnsi"/>
          <w:bCs/>
        </w:rPr>
      </w:pPr>
    </w:p>
    <w:p w14:paraId="12FAE888" w14:textId="5E15B0D1" w:rsidR="000A5EC7" w:rsidRPr="00045735" w:rsidRDefault="000A5EC7" w:rsidP="00813697">
      <w:pPr>
        <w:pStyle w:val="Heading2"/>
        <w:pBdr>
          <w:top w:val="single" w:sz="2" w:space="1" w:color="FFFFFF"/>
          <w:left w:val="single" w:sz="2" w:space="0" w:color="FFFFFF"/>
          <w:bottom w:val="single" w:sz="2" w:space="2" w:color="FFFFFF"/>
          <w:right w:val="single" w:sz="2" w:space="4" w:color="FFFFFF"/>
        </w:pBdr>
        <w:rPr>
          <w:rFonts w:asciiTheme="minorHAnsi" w:hAnsiTheme="minorHAnsi" w:cstheme="minorHAnsi"/>
          <w:sz w:val="22"/>
          <w:szCs w:val="22"/>
        </w:rPr>
      </w:pPr>
      <w:r w:rsidRPr="00045735">
        <w:rPr>
          <w:rFonts w:asciiTheme="minorHAnsi" w:hAnsiTheme="minorHAnsi" w:cstheme="minorHAnsi"/>
          <w:sz w:val="22"/>
          <w:szCs w:val="22"/>
        </w:rPr>
        <w:lastRenderedPageBreak/>
        <w:t>Background to the report</w:t>
      </w:r>
    </w:p>
    <w:p w14:paraId="3EB769B2" w14:textId="3C02F8D1" w:rsidR="000A5EC7" w:rsidRPr="00045735" w:rsidRDefault="000A5EC7" w:rsidP="000A5EC7">
      <w:pPr>
        <w:numPr>
          <w:ilvl w:val="0"/>
          <w:numId w:val="20"/>
        </w:numPr>
        <w:spacing w:after="0" w:line="240" w:lineRule="auto"/>
        <w:jc w:val="both"/>
        <w:rPr>
          <w:rFonts w:cstheme="minorHAnsi"/>
          <w:bCs/>
          <w:iCs/>
        </w:rPr>
      </w:pPr>
      <w:r w:rsidRPr="00045735">
        <w:rPr>
          <w:rFonts w:cstheme="minorHAnsi"/>
          <w:bCs/>
          <w:iCs/>
        </w:rPr>
        <w:t>At its meeting on 2</w:t>
      </w:r>
      <w:r w:rsidR="00045735" w:rsidRPr="00045735">
        <w:rPr>
          <w:rFonts w:cstheme="minorHAnsi"/>
          <w:bCs/>
          <w:iCs/>
        </w:rPr>
        <w:t>3rd</w:t>
      </w:r>
      <w:r w:rsidRPr="00045735">
        <w:rPr>
          <w:rFonts w:cstheme="minorHAnsi"/>
          <w:bCs/>
          <w:iCs/>
        </w:rPr>
        <w:t xml:space="preserve"> February 2022, Council approved the Treasury Management Policy Statement; Prudential Indicators; Investment Strategy; and the Annual Minimum Revenue Provision (MRP) Policy for 2022/23.</w:t>
      </w:r>
    </w:p>
    <w:p w14:paraId="3E57E57A" w14:textId="77777777" w:rsidR="00813697" w:rsidRPr="00045735" w:rsidRDefault="00813697" w:rsidP="00813697">
      <w:pPr>
        <w:spacing w:after="0" w:line="240" w:lineRule="auto"/>
        <w:ind w:left="567"/>
        <w:jc w:val="both"/>
        <w:rPr>
          <w:rFonts w:cstheme="minorHAnsi"/>
          <w:bCs/>
          <w:iCs/>
        </w:rPr>
      </w:pPr>
    </w:p>
    <w:p w14:paraId="53060F9F" w14:textId="464E0816" w:rsidR="000A5EC7" w:rsidRPr="00045735" w:rsidRDefault="000A5EC7" w:rsidP="000A5EC7">
      <w:pPr>
        <w:numPr>
          <w:ilvl w:val="0"/>
          <w:numId w:val="20"/>
        </w:numPr>
        <w:spacing w:after="0" w:line="240" w:lineRule="auto"/>
        <w:jc w:val="both"/>
        <w:rPr>
          <w:rFonts w:cstheme="minorHAnsi"/>
          <w:bCs/>
          <w:iCs/>
        </w:rPr>
      </w:pPr>
      <w:r w:rsidRPr="00045735">
        <w:rPr>
          <w:rFonts w:cstheme="minorHAnsi"/>
          <w:bCs/>
          <w:iCs/>
        </w:rPr>
        <w:t xml:space="preserve">The Treasury Management Annual Report for 2021/22 was presented to Governance Committee on </w:t>
      </w:r>
      <w:r w:rsidR="00045735" w:rsidRPr="00045735">
        <w:rPr>
          <w:rFonts w:cstheme="minorHAnsi"/>
          <w:bCs/>
          <w:iCs/>
        </w:rPr>
        <w:t>26</w:t>
      </w:r>
      <w:r w:rsidR="00045735" w:rsidRPr="00045735">
        <w:rPr>
          <w:rFonts w:cstheme="minorHAnsi"/>
          <w:bCs/>
          <w:iCs/>
          <w:vertAlign w:val="superscript"/>
        </w:rPr>
        <w:t>th</w:t>
      </w:r>
      <w:r w:rsidR="00045735" w:rsidRPr="00045735">
        <w:rPr>
          <w:rFonts w:cstheme="minorHAnsi"/>
          <w:bCs/>
          <w:iCs/>
        </w:rPr>
        <w:t xml:space="preserve"> July</w:t>
      </w:r>
      <w:r w:rsidRPr="00045735">
        <w:rPr>
          <w:rFonts w:cstheme="minorHAnsi"/>
          <w:bCs/>
          <w:iCs/>
        </w:rPr>
        <w:t xml:space="preserve"> 2022.</w:t>
      </w:r>
    </w:p>
    <w:p w14:paraId="487926EF" w14:textId="77777777" w:rsidR="00813697" w:rsidRPr="00045735" w:rsidRDefault="00813697" w:rsidP="00813697">
      <w:pPr>
        <w:spacing w:after="0" w:line="240" w:lineRule="auto"/>
        <w:ind w:left="567"/>
        <w:jc w:val="both"/>
        <w:rPr>
          <w:rFonts w:cstheme="minorHAnsi"/>
          <w:bCs/>
          <w:iCs/>
        </w:rPr>
      </w:pPr>
    </w:p>
    <w:p w14:paraId="4515ED4E" w14:textId="4D0B6045" w:rsidR="000A5EC7" w:rsidRPr="00045735" w:rsidRDefault="000A5EC7" w:rsidP="000A5EC7">
      <w:pPr>
        <w:numPr>
          <w:ilvl w:val="0"/>
          <w:numId w:val="20"/>
        </w:numPr>
        <w:spacing w:after="0" w:line="240" w:lineRule="auto"/>
        <w:jc w:val="both"/>
        <w:rPr>
          <w:rFonts w:cstheme="minorHAnsi"/>
          <w:bCs/>
          <w:iCs/>
        </w:rPr>
      </w:pPr>
      <w:r w:rsidRPr="00045735">
        <w:rPr>
          <w:rFonts w:cstheme="minorHAnsi"/>
          <w:bCs/>
          <w:iCs/>
        </w:rPr>
        <w:t>The Code of Practice for Treasury Management requires Councils to review their treasury strategies and activities half yearly. This report satisfies that requirement.</w:t>
      </w:r>
    </w:p>
    <w:p w14:paraId="577914BA" w14:textId="77777777" w:rsidR="000A5EC7" w:rsidRPr="00045735" w:rsidRDefault="000A5EC7" w:rsidP="000A5EC7">
      <w:pPr>
        <w:pStyle w:val="Heading2"/>
        <w:pBdr>
          <w:top w:val="single" w:sz="2" w:space="1" w:color="FFFFFF"/>
          <w:left w:val="single" w:sz="2" w:space="0" w:color="FFFFFF"/>
          <w:bottom w:val="single" w:sz="2" w:space="2" w:color="FFFFFF"/>
          <w:right w:val="single" w:sz="2" w:space="4" w:color="FFFFFF"/>
        </w:pBdr>
        <w:rPr>
          <w:rFonts w:asciiTheme="minorHAnsi" w:hAnsiTheme="minorHAnsi" w:cstheme="minorHAnsi"/>
          <w:b w:val="0"/>
          <w:bCs w:val="0"/>
          <w:sz w:val="22"/>
          <w:szCs w:val="22"/>
        </w:rPr>
      </w:pPr>
      <w:r w:rsidRPr="00045735">
        <w:rPr>
          <w:rFonts w:asciiTheme="minorHAnsi" w:hAnsiTheme="minorHAnsi" w:cstheme="minorHAnsi"/>
          <w:sz w:val="22"/>
          <w:szCs w:val="22"/>
        </w:rPr>
        <w:t>Capital Expenditure and Financing 2022/23</w:t>
      </w:r>
      <w:r w:rsidRPr="00045735">
        <w:rPr>
          <w:rFonts w:asciiTheme="minorHAnsi" w:hAnsiTheme="minorHAnsi" w:cstheme="minorHAnsi"/>
          <w:b w:val="0"/>
          <w:sz w:val="22"/>
          <w:szCs w:val="22"/>
        </w:rPr>
        <w:t xml:space="preserve"> </w:t>
      </w:r>
    </w:p>
    <w:p w14:paraId="045A5DFD" w14:textId="77777777" w:rsidR="000A5EC7" w:rsidRPr="00045735" w:rsidRDefault="000A5EC7" w:rsidP="000A5EC7">
      <w:pPr>
        <w:numPr>
          <w:ilvl w:val="0"/>
          <w:numId w:val="20"/>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theme="minorHAnsi"/>
        </w:rPr>
      </w:pPr>
      <w:r w:rsidRPr="00045735">
        <w:rPr>
          <w:rFonts w:cstheme="minorHAnsi"/>
        </w:rPr>
        <w:t>The Council undertakes capital expenditure on long-term activities. These activities may either be:</w:t>
      </w:r>
    </w:p>
    <w:p w14:paraId="19D47453" w14:textId="77777777" w:rsidR="000A5EC7" w:rsidRPr="00045735" w:rsidRDefault="000A5EC7" w:rsidP="000A5EC7">
      <w:pPr>
        <w:pStyle w:val="ListParagraph"/>
        <w:numPr>
          <w:ilvl w:val="0"/>
          <w:numId w:val="2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theme="minorHAnsi"/>
        </w:rPr>
      </w:pPr>
      <w:r w:rsidRPr="00045735">
        <w:rPr>
          <w:rFonts w:cstheme="minorHAnsi"/>
        </w:rPr>
        <w:t>financed immediately through the application of capital or revenue resources (capital receipts, capital grants, revenue contributions etc.), which has no impact on the Council’s borrowing need; or</w:t>
      </w:r>
    </w:p>
    <w:p w14:paraId="6853B6E2" w14:textId="77777777" w:rsidR="00813697" w:rsidRPr="00045735" w:rsidRDefault="00813697" w:rsidP="00813697">
      <w:pPr>
        <w:pStyle w:val="ListParagraph"/>
        <w:pBdr>
          <w:top w:val="single" w:sz="2" w:space="1" w:color="FFFFFF"/>
          <w:left w:val="single" w:sz="2" w:space="0" w:color="FFFFFF"/>
          <w:bottom w:val="single" w:sz="2" w:space="2" w:color="FFFFFF"/>
          <w:right w:val="single" w:sz="2" w:space="4" w:color="FFFFFF"/>
        </w:pBdr>
        <w:tabs>
          <w:tab w:val="left" w:pos="567"/>
        </w:tabs>
        <w:spacing w:after="0" w:line="240" w:lineRule="auto"/>
        <w:ind w:left="1287" w:right="141"/>
        <w:jc w:val="both"/>
        <w:rPr>
          <w:rFonts w:cstheme="minorHAnsi"/>
        </w:rPr>
      </w:pPr>
    </w:p>
    <w:p w14:paraId="5F35F744" w14:textId="6AD77FEE" w:rsidR="000A5EC7" w:rsidRPr="00045735" w:rsidRDefault="000A5EC7" w:rsidP="000A5EC7">
      <w:pPr>
        <w:pStyle w:val="ListParagraph"/>
        <w:numPr>
          <w:ilvl w:val="0"/>
          <w:numId w:val="2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theme="minorHAnsi"/>
        </w:rPr>
      </w:pPr>
      <w:r w:rsidRPr="00045735">
        <w:rPr>
          <w:rFonts w:cstheme="minorHAnsi"/>
        </w:rPr>
        <w:t>if sufficient financing is not available, or a decision is taken not to apply resources, the capital expenditure will give rise to a borrowing need.</w:t>
      </w:r>
    </w:p>
    <w:p w14:paraId="4A5237C7" w14:textId="77777777" w:rsidR="00E9447E" w:rsidRPr="00E9447E" w:rsidRDefault="00E9447E" w:rsidP="00E9447E">
      <w:pPr>
        <w:pBdr>
          <w:top w:val="single" w:sz="2" w:space="1" w:color="FFFFFF"/>
          <w:left w:val="single" w:sz="2" w:space="0" w:color="FFFFFF"/>
          <w:bottom w:val="single" w:sz="2" w:space="2" w:color="FFFFFF"/>
          <w:right w:val="single" w:sz="2" w:space="4" w:color="FFFFFF"/>
        </w:pBdr>
        <w:spacing w:after="0" w:line="240" w:lineRule="auto"/>
        <w:ind w:right="141"/>
        <w:jc w:val="both"/>
        <w:rPr>
          <w:rFonts w:cstheme="minorHAnsi"/>
          <w:color w:val="4F81BD" w:themeColor="accent1"/>
        </w:rPr>
      </w:pPr>
    </w:p>
    <w:p w14:paraId="42AA3528" w14:textId="5F0E8005" w:rsidR="000A5EC7" w:rsidRPr="00813697" w:rsidRDefault="000A5EC7" w:rsidP="000A5EC7">
      <w:pPr>
        <w:pStyle w:val="ListParagraph"/>
        <w:numPr>
          <w:ilvl w:val="0"/>
          <w:numId w:val="20"/>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theme="minorHAnsi"/>
          <w:color w:val="4F81BD" w:themeColor="accent1"/>
        </w:rPr>
      </w:pPr>
      <w:r w:rsidRPr="00045735">
        <w:rPr>
          <w:rFonts w:cstheme="minorHAnsi"/>
        </w:rPr>
        <w:t xml:space="preserve">Capital expenditure is monitored monthly and reported to Cabinet every quarter. </w:t>
      </w:r>
    </w:p>
    <w:p w14:paraId="769B81CE" w14:textId="77777777" w:rsidR="00E9447E" w:rsidRPr="00E9447E" w:rsidRDefault="00E9447E" w:rsidP="00E9447E">
      <w:pPr>
        <w:pBdr>
          <w:top w:val="single" w:sz="2" w:space="1" w:color="FFFFFF"/>
          <w:left w:val="single" w:sz="2" w:space="0" w:color="FFFFFF"/>
          <w:bottom w:val="single" w:sz="2" w:space="2" w:color="FFFFFF"/>
          <w:right w:val="single" w:sz="2" w:space="4" w:color="FFFFFF"/>
        </w:pBdr>
        <w:spacing w:after="0" w:line="240" w:lineRule="auto"/>
        <w:ind w:right="141"/>
        <w:jc w:val="both"/>
        <w:rPr>
          <w:rFonts w:cstheme="minorHAnsi"/>
        </w:rPr>
      </w:pPr>
    </w:p>
    <w:p w14:paraId="19D8C43A" w14:textId="7F614CF0" w:rsidR="000A5EC7" w:rsidRPr="00E9447E" w:rsidRDefault="000A5EC7" w:rsidP="00781E2F">
      <w:pPr>
        <w:pStyle w:val="ListParagraph"/>
        <w:numPr>
          <w:ilvl w:val="0"/>
          <w:numId w:val="20"/>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theme="minorHAnsi"/>
          <w:color w:val="4F81BD" w:themeColor="accent1"/>
        </w:rPr>
      </w:pPr>
      <w:r w:rsidRPr="00E9447E">
        <w:rPr>
          <w:rFonts w:cstheme="minorHAnsi"/>
        </w:rPr>
        <w:t>The report for the quarter ended 30</w:t>
      </w:r>
      <w:r w:rsidRPr="00E9447E">
        <w:rPr>
          <w:rFonts w:cstheme="minorHAnsi"/>
          <w:vertAlign w:val="superscript"/>
        </w:rPr>
        <w:t>th</w:t>
      </w:r>
      <w:r w:rsidRPr="00E9447E">
        <w:rPr>
          <w:rFonts w:cstheme="minorHAnsi"/>
        </w:rPr>
        <w:t xml:space="preserve"> September 2022 was considered by Cabinet on 1</w:t>
      </w:r>
      <w:r w:rsidR="00F15BF5" w:rsidRPr="00E9447E">
        <w:rPr>
          <w:rFonts w:cstheme="minorHAnsi"/>
        </w:rPr>
        <w:t>6</w:t>
      </w:r>
      <w:r w:rsidRPr="00E9447E">
        <w:rPr>
          <w:rFonts w:cstheme="minorHAnsi"/>
          <w:vertAlign w:val="superscript"/>
        </w:rPr>
        <w:t>th</w:t>
      </w:r>
      <w:r w:rsidRPr="00E9447E">
        <w:rPr>
          <w:rFonts w:cstheme="minorHAnsi"/>
        </w:rPr>
        <w:t xml:space="preserve"> November 2022 and highlighted a reduced forecast borrowing requirement for the year of £</w:t>
      </w:r>
      <w:r w:rsidR="00F15BF5" w:rsidRPr="00E9447E">
        <w:rPr>
          <w:rFonts w:cstheme="minorHAnsi"/>
        </w:rPr>
        <w:t>9.765</w:t>
      </w:r>
      <w:r w:rsidRPr="00E9447E">
        <w:rPr>
          <w:rFonts w:cstheme="minorHAnsi"/>
        </w:rPr>
        <w:t>m compared to an original forecast of £1</w:t>
      </w:r>
      <w:r w:rsidR="00F15BF5" w:rsidRPr="00E9447E">
        <w:rPr>
          <w:rFonts w:cstheme="minorHAnsi"/>
        </w:rPr>
        <w:t>1.102</w:t>
      </w:r>
      <w:r w:rsidRPr="00E9447E">
        <w:rPr>
          <w:rFonts w:cstheme="minorHAnsi"/>
        </w:rPr>
        <w:t>m (£1</w:t>
      </w:r>
      <w:r w:rsidR="00F15BF5" w:rsidRPr="00E9447E">
        <w:rPr>
          <w:rFonts w:cstheme="minorHAnsi"/>
        </w:rPr>
        <w:t>7.426</w:t>
      </w:r>
      <w:r w:rsidRPr="00E9447E">
        <w:rPr>
          <w:rFonts w:cstheme="minorHAnsi"/>
        </w:rPr>
        <w:t>m at July 2022).</w:t>
      </w:r>
    </w:p>
    <w:p w14:paraId="2BECA715" w14:textId="54A3A3E3" w:rsidR="000A5EC7" w:rsidRPr="00813697" w:rsidRDefault="00E9447E" w:rsidP="00E9447E">
      <w:pPr>
        <w:pStyle w:val="ListParagraph"/>
        <w:pBdr>
          <w:top w:val="single" w:sz="2" w:space="1" w:color="FFFFFF"/>
          <w:left w:val="single" w:sz="2" w:space="0" w:color="FFFFFF"/>
          <w:bottom w:val="single" w:sz="2" w:space="2" w:color="FFFFFF"/>
          <w:right w:val="single" w:sz="2" w:space="4" w:color="FFFFFF"/>
        </w:pBdr>
        <w:tabs>
          <w:tab w:val="left" w:pos="4678"/>
        </w:tabs>
        <w:ind w:left="567" w:right="141"/>
        <w:rPr>
          <w:rFonts w:cstheme="minorHAnsi"/>
          <w:color w:val="4F81BD" w:themeColor="accent1"/>
        </w:rPr>
      </w:pPr>
      <w:r w:rsidRPr="00813697">
        <w:rPr>
          <w:rFonts w:cstheme="minorHAnsi"/>
          <w:noProof/>
          <w:color w:val="4F81BD" w:themeColor="accent1"/>
        </w:rPr>
        <mc:AlternateContent>
          <mc:Choice Requires="wps">
            <w:drawing>
              <wp:anchor distT="0" distB="0" distL="114300" distR="114300" simplePos="0" relativeHeight="251661312" behindDoc="0" locked="0" layoutInCell="1" allowOverlap="1" wp14:anchorId="7E07CC43" wp14:editId="40BADC75">
                <wp:simplePos x="0" y="0"/>
                <wp:positionH relativeFrom="column">
                  <wp:posOffset>5966460</wp:posOffset>
                </wp:positionH>
                <wp:positionV relativeFrom="paragraph">
                  <wp:posOffset>4015105</wp:posOffset>
                </wp:positionV>
                <wp:extent cx="390525" cy="114300"/>
                <wp:effectExtent l="0" t="0" r="28575" b="19050"/>
                <wp:wrapNone/>
                <wp:docPr id="5" name="Rectangle: Rounded Corners 5"/>
                <wp:cNvGraphicFramePr/>
                <a:graphic xmlns:a="http://schemas.openxmlformats.org/drawingml/2006/main">
                  <a:graphicData uri="http://schemas.microsoft.com/office/word/2010/wordprocessingShape">
                    <wps:wsp>
                      <wps:cNvSpPr/>
                      <wps:spPr>
                        <a:xfrm>
                          <a:off x="0" y="0"/>
                          <a:ext cx="390525" cy="1143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12A75E" id="Rectangle: Rounded Corners 5" o:spid="_x0000_s1026" style="position:absolute;margin-left:469.8pt;margin-top:316.15pt;width:30.7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" filled="f" strokecolor="red" strokeweight="2pt"/>
            </w:pict>
          </mc:Fallback>
        </mc:AlternateContent>
      </w:r>
      <w:r w:rsidRPr="00813697">
        <w:rPr>
          <w:rFonts w:cstheme="minorHAnsi"/>
          <w:noProof/>
          <w:color w:val="4F81BD" w:themeColor="accent1"/>
        </w:rPr>
        <mc:AlternateContent>
          <mc:Choice Requires="wps">
            <w:drawing>
              <wp:anchor distT="0" distB="0" distL="114300" distR="114300" simplePos="0" relativeHeight="251660288" behindDoc="0" locked="0" layoutInCell="1" allowOverlap="1" wp14:anchorId="450E32F8" wp14:editId="25454722">
                <wp:simplePos x="0" y="0"/>
                <wp:positionH relativeFrom="column">
                  <wp:posOffset>3118485</wp:posOffset>
                </wp:positionH>
                <wp:positionV relativeFrom="paragraph">
                  <wp:posOffset>4005580</wp:posOffset>
                </wp:positionV>
                <wp:extent cx="381000" cy="123825"/>
                <wp:effectExtent l="0" t="0" r="19050" b="28575"/>
                <wp:wrapNone/>
                <wp:docPr id="6" name="Rectangle: Rounded Corners 6"/>
                <wp:cNvGraphicFramePr/>
                <a:graphic xmlns:a="http://schemas.openxmlformats.org/drawingml/2006/main">
                  <a:graphicData uri="http://schemas.microsoft.com/office/word/2010/wordprocessingShape">
                    <wps:wsp>
                      <wps:cNvSpPr/>
                      <wps:spPr>
                        <a:xfrm>
                          <a:off x="0" y="0"/>
                          <a:ext cx="381000" cy="1238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75C8A1" id="Rectangle: Rounded Corners 6" o:spid="_x0000_s1026" style="position:absolute;margin-left:245.55pt;margin-top:315.4pt;width:30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" filled="f" strokecolor="red" strokeweight="2pt"/>
            </w:pict>
          </mc:Fallback>
        </mc:AlternateContent>
      </w:r>
      <w:r w:rsidR="00F15BF5">
        <w:rPr>
          <w:rFonts w:cstheme="minorHAnsi"/>
          <w:noProof/>
          <w:color w:val="4F81BD" w:themeColor="accent1"/>
        </w:rPr>
        <w:drawing>
          <wp:inline distT="0" distB="0" distL="0" distR="0" wp14:anchorId="347B87D1" wp14:editId="26B382AD">
            <wp:extent cx="6153150" cy="4391025"/>
            <wp:effectExtent l="0" t="0" r="0" b="9525"/>
            <wp:docPr id="14" name="Picture 14" descr="Capital SRBC Appendix A.pdf - Adobe Acrobat Reader DC (64-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C4E5D.tmp"/>
                    <pic:cNvPicPr/>
                  </pic:nvPicPr>
                  <pic:blipFill rotWithShape="1">
                    <a:blip r:embed="rId9">
                      <a:extLst>
                        <a:ext uri="{28A0092B-C50C-407E-A947-70E740481C1C}">
                          <a14:useLocalDpi xmlns:a14="http://schemas.microsoft.com/office/drawing/2010/main" val="0"/>
                        </a:ext>
                      </a:extLst>
                    </a:blip>
                    <a:srcRect l="9648" t="23797" r="51136" b="14640"/>
                    <a:stretch/>
                  </pic:blipFill>
                  <pic:spPr bwMode="auto">
                    <a:xfrm>
                      <a:off x="0" y="0"/>
                      <a:ext cx="6153150" cy="4391025"/>
                    </a:xfrm>
                    <a:prstGeom prst="rect">
                      <a:avLst/>
                    </a:prstGeom>
                    <a:ln>
                      <a:noFill/>
                    </a:ln>
                    <a:extLst>
                      <a:ext uri="{53640926-AAD7-44D8-BBD7-CCE9431645EC}">
                        <a14:shadowObscured xmlns:a14="http://schemas.microsoft.com/office/drawing/2010/main"/>
                      </a:ext>
                    </a:extLst>
                  </pic:spPr>
                </pic:pic>
              </a:graphicData>
            </a:graphic>
          </wp:inline>
        </w:drawing>
      </w:r>
    </w:p>
    <w:p w14:paraId="68BC097F" w14:textId="13498EC3" w:rsidR="00F15BF5" w:rsidRPr="00E9447E" w:rsidRDefault="000A5EC7" w:rsidP="00E9447E">
      <w:pPr>
        <w:pStyle w:val="Title"/>
        <w:ind w:left="567"/>
        <w:rPr>
          <w:rFonts w:asciiTheme="minorHAnsi" w:hAnsiTheme="minorHAnsi" w:cstheme="minorHAnsi"/>
          <w:b w:val="0"/>
          <w:bCs w:val="0"/>
          <w:sz w:val="22"/>
          <w:szCs w:val="22"/>
          <w:u w:val="none"/>
        </w:rPr>
      </w:pPr>
      <w:r w:rsidRPr="00E9447E">
        <w:rPr>
          <w:rFonts w:asciiTheme="minorHAnsi" w:hAnsiTheme="minorHAnsi" w:cstheme="minorHAnsi"/>
          <w:b w:val="0"/>
          <w:bCs w:val="0"/>
          <w:sz w:val="22"/>
          <w:szCs w:val="22"/>
          <w:u w:val="none"/>
        </w:rPr>
        <w:lastRenderedPageBreak/>
        <w:t>Full details are outlined in the report to Cabinet 1</w:t>
      </w:r>
      <w:r w:rsidR="00F15BF5" w:rsidRPr="00E9447E">
        <w:rPr>
          <w:rFonts w:asciiTheme="minorHAnsi" w:hAnsiTheme="minorHAnsi" w:cstheme="minorHAnsi"/>
          <w:b w:val="0"/>
          <w:bCs w:val="0"/>
          <w:sz w:val="22"/>
          <w:szCs w:val="22"/>
          <w:u w:val="none"/>
        </w:rPr>
        <w:t>6</w:t>
      </w:r>
      <w:r w:rsidRPr="00E9447E">
        <w:rPr>
          <w:rFonts w:asciiTheme="minorHAnsi" w:hAnsiTheme="minorHAnsi" w:cstheme="minorHAnsi"/>
          <w:b w:val="0"/>
          <w:bCs w:val="0"/>
          <w:sz w:val="22"/>
          <w:szCs w:val="22"/>
          <w:u w:val="none"/>
          <w:vertAlign w:val="superscript"/>
        </w:rPr>
        <w:t>th</w:t>
      </w:r>
      <w:r w:rsidRPr="00E9447E">
        <w:rPr>
          <w:rFonts w:asciiTheme="minorHAnsi" w:hAnsiTheme="minorHAnsi" w:cstheme="minorHAnsi"/>
          <w:b w:val="0"/>
          <w:bCs w:val="0"/>
          <w:sz w:val="22"/>
          <w:szCs w:val="22"/>
          <w:u w:val="none"/>
        </w:rPr>
        <w:t xml:space="preserve"> November 2022; </w:t>
      </w:r>
      <w:r w:rsidR="00F15BF5" w:rsidRPr="00E9447E">
        <w:rPr>
          <w:rFonts w:asciiTheme="minorHAnsi" w:hAnsiTheme="minorHAnsi" w:cstheme="minorHAnsi"/>
          <w:b w:val="0"/>
          <w:bCs w:val="0"/>
          <w:sz w:val="22"/>
          <w:szCs w:val="22"/>
          <w:u w:val="none"/>
        </w:rPr>
        <w:t>2022/23 Capital Programme and Balance Sheet Monitoring Report position at 30</w:t>
      </w:r>
      <w:r w:rsidR="00F15BF5" w:rsidRPr="00E9447E">
        <w:rPr>
          <w:rFonts w:asciiTheme="minorHAnsi" w:hAnsiTheme="minorHAnsi" w:cstheme="minorHAnsi"/>
          <w:b w:val="0"/>
          <w:bCs w:val="0"/>
          <w:sz w:val="22"/>
          <w:szCs w:val="22"/>
          <w:u w:val="none"/>
          <w:vertAlign w:val="superscript"/>
        </w:rPr>
        <w:t>th</w:t>
      </w:r>
      <w:r w:rsidR="00F15BF5" w:rsidRPr="00E9447E">
        <w:rPr>
          <w:rFonts w:asciiTheme="minorHAnsi" w:hAnsiTheme="minorHAnsi" w:cstheme="minorHAnsi"/>
          <w:b w:val="0"/>
          <w:bCs w:val="0"/>
          <w:sz w:val="22"/>
          <w:szCs w:val="22"/>
          <w:u w:val="none"/>
        </w:rPr>
        <w:t xml:space="preserve"> September 2022</w:t>
      </w:r>
    </w:p>
    <w:p w14:paraId="54325DAC" w14:textId="491722F4" w:rsidR="000A5EC7" w:rsidRPr="00E9447E" w:rsidRDefault="000A5EC7" w:rsidP="00F15BF5">
      <w:pPr>
        <w:pStyle w:val="Heading1"/>
        <w:ind w:left="567"/>
        <w:rPr>
          <w:rFonts w:asciiTheme="minorHAnsi" w:hAnsiTheme="minorHAnsi" w:cstheme="minorHAnsi"/>
          <w:b w:val="0"/>
          <w:bCs w:val="0"/>
          <w:sz w:val="22"/>
          <w:szCs w:val="22"/>
        </w:rPr>
      </w:pPr>
      <w:r w:rsidRPr="00E9447E">
        <w:rPr>
          <w:rFonts w:asciiTheme="minorHAnsi" w:hAnsiTheme="minorHAnsi" w:cstheme="minorHAnsi"/>
          <w:sz w:val="22"/>
          <w:szCs w:val="22"/>
        </w:rPr>
        <w:t>Capital Financing Requirement 2022/23</w:t>
      </w:r>
    </w:p>
    <w:p w14:paraId="6012B276" w14:textId="0BD5F922" w:rsidR="000A5EC7" w:rsidRPr="00E9447E" w:rsidRDefault="000A5EC7" w:rsidP="000A5EC7">
      <w:pPr>
        <w:pStyle w:val="ListParagraph"/>
        <w:numPr>
          <w:ilvl w:val="0"/>
          <w:numId w:val="20"/>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theme="minorHAnsi"/>
        </w:rPr>
      </w:pPr>
      <w:r w:rsidRPr="00E9447E">
        <w:rPr>
          <w:rFonts w:cstheme="minorHAnsi"/>
        </w:rPr>
        <w:t xml:space="preserve">The Council’s underlying need to borrow for capital expenditure is termed the Capital Financing Requirement (CFR). This figure is a gauge of the Council’s indebtedness. It represents the unfinanced capital expenditure in 2022/23 plus unfinanced capital expenditure </w:t>
      </w:r>
      <w:r w:rsidR="00D8254A">
        <w:rPr>
          <w:rFonts w:cstheme="minorHAnsi"/>
        </w:rPr>
        <w:t xml:space="preserve">from prior years </w:t>
      </w:r>
      <w:r w:rsidRPr="00E9447E">
        <w:rPr>
          <w:rFonts w:cstheme="minorHAnsi"/>
        </w:rPr>
        <w:t>which has not yet been paid for by revenue or other resources.</w:t>
      </w:r>
    </w:p>
    <w:p w14:paraId="2310EC55" w14:textId="77777777" w:rsidR="00813697" w:rsidRPr="00E9447E" w:rsidRDefault="00813697" w:rsidP="00813697">
      <w:pPr>
        <w:pStyle w:val="ListParagraph"/>
        <w:pBdr>
          <w:top w:val="single" w:sz="2" w:space="1" w:color="FFFFFF"/>
          <w:left w:val="single" w:sz="2" w:space="0" w:color="FFFFFF"/>
          <w:bottom w:val="single" w:sz="2" w:space="2" w:color="FFFFFF"/>
          <w:right w:val="single" w:sz="2" w:space="4" w:color="FFFFFF"/>
        </w:pBdr>
        <w:spacing w:after="0" w:line="240" w:lineRule="auto"/>
        <w:ind w:left="567" w:right="141"/>
        <w:jc w:val="both"/>
        <w:rPr>
          <w:rFonts w:cstheme="minorHAnsi"/>
        </w:rPr>
      </w:pPr>
    </w:p>
    <w:p w14:paraId="0B4CEFFA" w14:textId="57423C52" w:rsidR="000A5EC7" w:rsidRPr="00E9447E" w:rsidRDefault="000A5EC7" w:rsidP="000A5EC7">
      <w:pPr>
        <w:pStyle w:val="ListParagraph"/>
        <w:numPr>
          <w:ilvl w:val="0"/>
          <w:numId w:val="20"/>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theme="minorHAnsi"/>
        </w:rPr>
      </w:pPr>
      <w:r w:rsidRPr="00E9447E">
        <w:rPr>
          <w:rFonts w:cstheme="minorHAnsi"/>
        </w:rPr>
        <w:t>The CFR is not matched in full by external borrowing, as the Council has “under borrowed” by using its own cash balances to finance capital expenditure. There is some loss of interest as a result, but had external loans been taken, then the interest payable would have been at a higher rate. Use of the Council’s own cash helps to achieve savings in net interest.</w:t>
      </w:r>
    </w:p>
    <w:p w14:paraId="590F5C18" w14:textId="77777777" w:rsidR="00813697" w:rsidRPr="00E9447E" w:rsidRDefault="00813697" w:rsidP="00813697">
      <w:pPr>
        <w:pStyle w:val="ListParagraph"/>
        <w:pBdr>
          <w:top w:val="single" w:sz="2" w:space="1" w:color="FFFFFF"/>
          <w:left w:val="single" w:sz="2" w:space="0" w:color="FFFFFF"/>
          <w:bottom w:val="single" w:sz="2" w:space="2" w:color="FFFFFF"/>
          <w:right w:val="single" w:sz="2" w:space="4" w:color="FFFFFF"/>
        </w:pBdr>
        <w:spacing w:after="0" w:line="240" w:lineRule="auto"/>
        <w:ind w:left="567" w:right="141"/>
        <w:jc w:val="both"/>
        <w:rPr>
          <w:rFonts w:cstheme="minorHAnsi"/>
        </w:rPr>
      </w:pPr>
    </w:p>
    <w:p w14:paraId="6ACCE543" w14:textId="5B474AD9" w:rsidR="000A5EC7" w:rsidRPr="00E9447E" w:rsidRDefault="000A5EC7" w:rsidP="000A5EC7">
      <w:pPr>
        <w:pStyle w:val="ListParagraph"/>
        <w:numPr>
          <w:ilvl w:val="0"/>
          <w:numId w:val="20"/>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theme="minorHAnsi"/>
        </w:rPr>
      </w:pPr>
      <w:r w:rsidRPr="00E9447E">
        <w:rPr>
          <w:rFonts w:cstheme="minorHAnsi"/>
        </w:rPr>
        <w:t xml:space="preserve">The Council’s underlying borrowing need is not allowed to rise indefinitely. Statutory controls are in place to ensure that capital assets are broadly charged to revenue over the life of the asset. The Council is required to make an annual revenue charge, called the Minimum Revenue Provision (MRP), to reduce the CFR. This is effectively a repayment of the borrowing need. </w:t>
      </w:r>
    </w:p>
    <w:p w14:paraId="3A6AB5C5" w14:textId="77777777" w:rsidR="00C553DF" w:rsidRPr="00E9447E" w:rsidRDefault="00C553DF" w:rsidP="00C553DF">
      <w:pPr>
        <w:pStyle w:val="ListParagraph"/>
        <w:pBdr>
          <w:top w:val="single" w:sz="2" w:space="1" w:color="FFFFFF"/>
          <w:left w:val="single" w:sz="2" w:space="0" w:color="FFFFFF"/>
          <w:bottom w:val="single" w:sz="2" w:space="2" w:color="FFFFFF"/>
          <w:right w:val="single" w:sz="2" w:space="4" w:color="FFFFFF"/>
        </w:pBdr>
        <w:spacing w:after="0" w:line="240" w:lineRule="auto"/>
        <w:ind w:left="567" w:right="141"/>
        <w:jc w:val="both"/>
        <w:rPr>
          <w:rFonts w:cstheme="minorHAnsi"/>
        </w:rPr>
      </w:pPr>
    </w:p>
    <w:p w14:paraId="57B6A335" w14:textId="2ACC1684" w:rsidR="000A5EC7" w:rsidRPr="00E9447E" w:rsidRDefault="000A5EC7" w:rsidP="000A5EC7">
      <w:pPr>
        <w:pStyle w:val="ListParagraph"/>
        <w:numPr>
          <w:ilvl w:val="0"/>
          <w:numId w:val="20"/>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theme="minorHAnsi"/>
        </w:rPr>
      </w:pPr>
      <w:r w:rsidRPr="00E9447E">
        <w:rPr>
          <w:rFonts w:cstheme="minorHAnsi"/>
        </w:rPr>
        <w:t>The Council’s CFR for the year is shown below and represents a key prudential indicator;</w:t>
      </w:r>
    </w:p>
    <w:p w14:paraId="72889885" w14:textId="77777777" w:rsidR="00C553DF" w:rsidRPr="00C553DF" w:rsidRDefault="00C553DF" w:rsidP="00C553DF">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theme="minorHAnsi"/>
          <w:color w:val="4F81BD" w:themeColor="accent1"/>
        </w:rPr>
      </w:pPr>
    </w:p>
    <w:tbl>
      <w:tblPr>
        <w:tblStyle w:val="TableGrid"/>
        <w:tblW w:w="0" w:type="auto"/>
        <w:tblInd w:w="567" w:type="dxa"/>
        <w:tblLook w:val="04A0" w:firstRow="1" w:lastRow="0" w:firstColumn="1" w:lastColumn="0" w:noHBand="0" w:noVBand="1"/>
      </w:tblPr>
      <w:tblGrid>
        <w:gridCol w:w="4815"/>
        <w:gridCol w:w="2126"/>
        <w:gridCol w:w="1985"/>
      </w:tblGrid>
      <w:tr w:rsidR="00F729B1" w:rsidRPr="00813697" w14:paraId="51CB401E" w14:textId="77777777" w:rsidTr="002B1B31">
        <w:tc>
          <w:tcPr>
            <w:tcW w:w="4815" w:type="dxa"/>
            <w:shd w:val="clear" w:color="auto" w:fill="EEECE1" w:themeFill="background2"/>
          </w:tcPr>
          <w:p w14:paraId="5DEC914E" w14:textId="77777777" w:rsidR="000A5EC7" w:rsidRPr="00663980" w:rsidRDefault="000A5EC7" w:rsidP="002B1B31">
            <w:pPr>
              <w:tabs>
                <w:tab w:val="left" w:pos="567"/>
              </w:tabs>
              <w:ind w:right="141"/>
              <w:rPr>
                <w:rFonts w:cstheme="minorHAnsi"/>
                <w:b/>
                <w:bCs/>
              </w:rPr>
            </w:pPr>
            <w:r w:rsidRPr="00663980">
              <w:rPr>
                <w:rFonts w:cstheme="minorHAnsi"/>
                <w:b/>
                <w:bCs/>
              </w:rPr>
              <w:t>Table 2 - Capital Financing Requirement</w:t>
            </w:r>
          </w:p>
        </w:tc>
        <w:tc>
          <w:tcPr>
            <w:tcW w:w="2126" w:type="dxa"/>
            <w:shd w:val="clear" w:color="auto" w:fill="EEECE1" w:themeFill="background2"/>
          </w:tcPr>
          <w:p w14:paraId="578F4C87" w14:textId="77777777" w:rsidR="000A5EC7" w:rsidRPr="00663980" w:rsidRDefault="000A5EC7" w:rsidP="002B1B31">
            <w:pPr>
              <w:tabs>
                <w:tab w:val="left" w:pos="567"/>
              </w:tabs>
              <w:ind w:right="141"/>
              <w:jc w:val="center"/>
              <w:rPr>
                <w:rFonts w:cstheme="minorHAnsi"/>
                <w:b/>
                <w:bCs/>
              </w:rPr>
            </w:pPr>
            <w:r w:rsidRPr="00663980">
              <w:rPr>
                <w:rFonts w:cstheme="minorHAnsi"/>
                <w:b/>
                <w:bCs/>
              </w:rPr>
              <w:t>2021/22</w:t>
            </w:r>
          </w:p>
          <w:p w14:paraId="2F77C62A" w14:textId="77777777" w:rsidR="000A5EC7" w:rsidRPr="00663980" w:rsidRDefault="000A5EC7" w:rsidP="002B1B31">
            <w:pPr>
              <w:tabs>
                <w:tab w:val="left" w:pos="567"/>
              </w:tabs>
              <w:ind w:right="141"/>
              <w:jc w:val="center"/>
              <w:rPr>
                <w:rFonts w:cstheme="minorHAnsi"/>
                <w:b/>
                <w:bCs/>
              </w:rPr>
            </w:pPr>
          </w:p>
          <w:p w14:paraId="20F9FB0C" w14:textId="77777777" w:rsidR="000A5EC7" w:rsidRPr="00663980" w:rsidRDefault="000A5EC7" w:rsidP="002B1B31">
            <w:pPr>
              <w:tabs>
                <w:tab w:val="left" w:pos="567"/>
              </w:tabs>
              <w:ind w:right="141"/>
              <w:jc w:val="center"/>
              <w:rPr>
                <w:rFonts w:cstheme="minorHAnsi"/>
                <w:b/>
                <w:bCs/>
              </w:rPr>
            </w:pPr>
            <w:r w:rsidRPr="00663980">
              <w:rPr>
                <w:rFonts w:cstheme="minorHAnsi"/>
                <w:b/>
                <w:bCs/>
              </w:rPr>
              <w:t>Outturn</w:t>
            </w:r>
          </w:p>
          <w:p w14:paraId="3120C145" w14:textId="77777777" w:rsidR="000A5EC7" w:rsidRPr="00663980" w:rsidRDefault="000A5EC7" w:rsidP="002B1B31">
            <w:pPr>
              <w:tabs>
                <w:tab w:val="left" w:pos="567"/>
              </w:tabs>
              <w:ind w:right="141"/>
              <w:jc w:val="center"/>
              <w:rPr>
                <w:rFonts w:cstheme="minorHAnsi"/>
                <w:b/>
                <w:bCs/>
              </w:rPr>
            </w:pPr>
          </w:p>
          <w:p w14:paraId="50A33999" w14:textId="77777777" w:rsidR="000A5EC7" w:rsidRPr="00663980" w:rsidRDefault="000A5EC7" w:rsidP="002B1B31">
            <w:pPr>
              <w:tabs>
                <w:tab w:val="left" w:pos="567"/>
              </w:tabs>
              <w:ind w:right="141"/>
              <w:jc w:val="center"/>
              <w:rPr>
                <w:rFonts w:cstheme="minorHAnsi"/>
                <w:b/>
                <w:bCs/>
              </w:rPr>
            </w:pPr>
          </w:p>
          <w:p w14:paraId="20E59201" w14:textId="77777777" w:rsidR="000A5EC7" w:rsidRPr="00663980" w:rsidRDefault="000A5EC7" w:rsidP="002B1B31">
            <w:pPr>
              <w:tabs>
                <w:tab w:val="left" w:pos="567"/>
              </w:tabs>
              <w:ind w:right="141"/>
              <w:jc w:val="center"/>
              <w:rPr>
                <w:rFonts w:cstheme="minorHAnsi"/>
                <w:b/>
                <w:bCs/>
              </w:rPr>
            </w:pPr>
            <w:r w:rsidRPr="00663980">
              <w:rPr>
                <w:rFonts w:cstheme="minorHAnsi"/>
                <w:b/>
                <w:bCs/>
              </w:rPr>
              <w:t>£’000</w:t>
            </w:r>
          </w:p>
        </w:tc>
        <w:tc>
          <w:tcPr>
            <w:tcW w:w="1985" w:type="dxa"/>
            <w:shd w:val="clear" w:color="auto" w:fill="EEECE1" w:themeFill="background2"/>
          </w:tcPr>
          <w:p w14:paraId="221EE7AA" w14:textId="77777777" w:rsidR="000A5EC7" w:rsidRPr="00663980" w:rsidRDefault="000A5EC7" w:rsidP="002B1B31">
            <w:pPr>
              <w:tabs>
                <w:tab w:val="left" w:pos="567"/>
              </w:tabs>
              <w:ind w:right="141"/>
              <w:jc w:val="center"/>
              <w:rPr>
                <w:rFonts w:cstheme="minorHAnsi"/>
                <w:b/>
                <w:bCs/>
              </w:rPr>
            </w:pPr>
            <w:r w:rsidRPr="00663980">
              <w:rPr>
                <w:rFonts w:cstheme="minorHAnsi"/>
                <w:b/>
                <w:bCs/>
              </w:rPr>
              <w:t>2022/23</w:t>
            </w:r>
          </w:p>
          <w:p w14:paraId="16AA1A2F" w14:textId="77777777" w:rsidR="000A5EC7" w:rsidRPr="00663980" w:rsidRDefault="000A5EC7" w:rsidP="002B1B31">
            <w:pPr>
              <w:tabs>
                <w:tab w:val="left" w:pos="567"/>
              </w:tabs>
              <w:ind w:right="141"/>
              <w:jc w:val="center"/>
              <w:rPr>
                <w:rFonts w:cstheme="minorHAnsi"/>
                <w:b/>
                <w:bCs/>
              </w:rPr>
            </w:pPr>
          </w:p>
          <w:p w14:paraId="16BB441C" w14:textId="20332FD6" w:rsidR="000A5EC7" w:rsidRPr="00663980" w:rsidRDefault="000A5EC7" w:rsidP="002B1B31">
            <w:pPr>
              <w:tabs>
                <w:tab w:val="left" w:pos="567"/>
              </w:tabs>
              <w:ind w:right="141"/>
              <w:jc w:val="center"/>
              <w:rPr>
                <w:rFonts w:cstheme="minorHAnsi"/>
                <w:b/>
                <w:bCs/>
              </w:rPr>
            </w:pPr>
            <w:r w:rsidRPr="00663980">
              <w:rPr>
                <w:rFonts w:cstheme="minorHAnsi"/>
                <w:b/>
                <w:bCs/>
              </w:rPr>
              <w:t xml:space="preserve">Forecast </w:t>
            </w:r>
            <w:r w:rsidR="00D8254A">
              <w:rPr>
                <w:rFonts w:cstheme="minorHAnsi"/>
                <w:b/>
                <w:bCs/>
              </w:rPr>
              <w:t>a</w:t>
            </w:r>
            <w:r w:rsidRPr="00663980">
              <w:rPr>
                <w:rFonts w:cstheme="minorHAnsi"/>
                <w:b/>
                <w:bCs/>
              </w:rPr>
              <w:t>s at 30/9/22</w:t>
            </w:r>
          </w:p>
          <w:p w14:paraId="2930A124" w14:textId="77777777" w:rsidR="000A5EC7" w:rsidRPr="00663980" w:rsidRDefault="000A5EC7" w:rsidP="002B1B31">
            <w:pPr>
              <w:tabs>
                <w:tab w:val="left" w:pos="567"/>
              </w:tabs>
              <w:ind w:right="141"/>
              <w:jc w:val="center"/>
              <w:rPr>
                <w:rFonts w:cstheme="minorHAnsi"/>
                <w:b/>
                <w:bCs/>
              </w:rPr>
            </w:pPr>
          </w:p>
          <w:p w14:paraId="49A2BA0B" w14:textId="77777777" w:rsidR="000A5EC7" w:rsidRPr="00663980" w:rsidRDefault="000A5EC7" w:rsidP="002B1B31">
            <w:pPr>
              <w:tabs>
                <w:tab w:val="left" w:pos="567"/>
              </w:tabs>
              <w:ind w:right="141"/>
              <w:jc w:val="center"/>
              <w:rPr>
                <w:rFonts w:cstheme="minorHAnsi"/>
                <w:b/>
                <w:bCs/>
              </w:rPr>
            </w:pPr>
            <w:r w:rsidRPr="00663980">
              <w:rPr>
                <w:rFonts w:cstheme="minorHAnsi"/>
                <w:b/>
                <w:bCs/>
              </w:rPr>
              <w:t>£’000</w:t>
            </w:r>
          </w:p>
          <w:p w14:paraId="02C81B48" w14:textId="77777777" w:rsidR="000A5EC7" w:rsidRPr="00663980" w:rsidRDefault="000A5EC7" w:rsidP="002B1B31">
            <w:pPr>
              <w:tabs>
                <w:tab w:val="left" w:pos="567"/>
              </w:tabs>
              <w:ind w:right="141"/>
              <w:jc w:val="center"/>
              <w:rPr>
                <w:rFonts w:cstheme="minorHAnsi"/>
                <w:b/>
                <w:bCs/>
              </w:rPr>
            </w:pPr>
          </w:p>
        </w:tc>
      </w:tr>
      <w:tr w:rsidR="00F729B1" w:rsidRPr="00813697" w14:paraId="33EA6AA4" w14:textId="77777777" w:rsidTr="002B1B31">
        <w:tc>
          <w:tcPr>
            <w:tcW w:w="4815" w:type="dxa"/>
          </w:tcPr>
          <w:p w14:paraId="7D67AA1F" w14:textId="77777777" w:rsidR="000A5EC7" w:rsidRPr="00663980" w:rsidRDefault="000A5EC7" w:rsidP="002B1B31">
            <w:pPr>
              <w:tabs>
                <w:tab w:val="left" w:pos="567"/>
              </w:tabs>
              <w:ind w:right="141"/>
              <w:rPr>
                <w:rFonts w:cstheme="minorHAnsi"/>
              </w:rPr>
            </w:pPr>
            <w:r w:rsidRPr="00663980">
              <w:rPr>
                <w:rFonts w:cstheme="minorHAnsi"/>
              </w:rPr>
              <w:t>Opening CFR</w:t>
            </w:r>
          </w:p>
        </w:tc>
        <w:tc>
          <w:tcPr>
            <w:tcW w:w="2126" w:type="dxa"/>
          </w:tcPr>
          <w:p w14:paraId="0CF65556" w14:textId="7237A6E3" w:rsidR="000A5EC7" w:rsidRPr="00950D88" w:rsidRDefault="00950D88" w:rsidP="002B1B31">
            <w:pPr>
              <w:tabs>
                <w:tab w:val="left" w:pos="567"/>
              </w:tabs>
              <w:ind w:right="141"/>
              <w:jc w:val="right"/>
              <w:rPr>
                <w:rFonts w:cstheme="minorHAnsi"/>
              </w:rPr>
            </w:pPr>
            <w:r w:rsidRPr="00950D88">
              <w:rPr>
                <w:rFonts w:cstheme="minorHAnsi"/>
              </w:rPr>
              <w:t>2,500</w:t>
            </w:r>
          </w:p>
        </w:tc>
        <w:tc>
          <w:tcPr>
            <w:tcW w:w="1985" w:type="dxa"/>
          </w:tcPr>
          <w:p w14:paraId="61347146" w14:textId="3D70E121" w:rsidR="000A5EC7" w:rsidRPr="00D70240" w:rsidRDefault="00D70240" w:rsidP="002B1B31">
            <w:pPr>
              <w:tabs>
                <w:tab w:val="left" w:pos="567"/>
              </w:tabs>
              <w:ind w:right="141"/>
              <w:jc w:val="right"/>
              <w:rPr>
                <w:rFonts w:cstheme="minorHAnsi"/>
              </w:rPr>
            </w:pPr>
            <w:r w:rsidRPr="00D70240">
              <w:rPr>
                <w:rFonts w:cstheme="minorHAnsi"/>
              </w:rPr>
              <w:t>3,509</w:t>
            </w:r>
          </w:p>
        </w:tc>
      </w:tr>
      <w:tr w:rsidR="00F729B1" w:rsidRPr="00813697" w14:paraId="278F7065" w14:textId="77777777" w:rsidTr="002B1B31">
        <w:tc>
          <w:tcPr>
            <w:tcW w:w="4815" w:type="dxa"/>
          </w:tcPr>
          <w:p w14:paraId="4309D1BF" w14:textId="77777777" w:rsidR="000A5EC7" w:rsidRPr="00663980" w:rsidRDefault="000A5EC7" w:rsidP="002B1B31">
            <w:pPr>
              <w:tabs>
                <w:tab w:val="left" w:pos="567"/>
              </w:tabs>
              <w:ind w:right="141"/>
              <w:rPr>
                <w:rFonts w:cstheme="minorHAnsi"/>
              </w:rPr>
            </w:pPr>
            <w:r w:rsidRPr="00663980">
              <w:rPr>
                <w:rFonts w:cstheme="minorHAnsi"/>
              </w:rPr>
              <w:t>Increase in Borrowing (Table 1)</w:t>
            </w:r>
          </w:p>
        </w:tc>
        <w:tc>
          <w:tcPr>
            <w:tcW w:w="2126" w:type="dxa"/>
          </w:tcPr>
          <w:p w14:paraId="6AC060C1" w14:textId="4FB46EBC" w:rsidR="000A5EC7" w:rsidRPr="00950D88" w:rsidRDefault="000A5EC7" w:rsidP="002B1B31">
            <w:pPr>
              <w:tabs>
                <w:tab w:val="left" w:pos="567"/>
              </w:tabs>
              <w:ind w:right="141"/>
              <w:jc w:val="right"/>
              <w:rPr>
                <w:rFonts w:cstheme="minorHAnsi"/>
              </w:rPr>
            </w:pPr>
            <w:r w:rsidRPr="00950D88">
              <w:rPr>
                <w:rFonts w:cstheme="minorHAnsi"/>
              </w:rPr>
              <w:t>1</w:t>
            </w:r>
            <w:r w:rsidR="00950D88" w:rsidRPr="00950D88">
              <w:rPr>
                <w:rFonts w:cstheme="minorHAnsi"/>
              </w:rPr>
              <w:t>,307</w:t>
            </w:r>
          </w:p>
        </w:tc>
        <w:tc>
          <w:tcPr>
            <w:tcW w:w="1985" w:type="dxa"/>
          </w:tcPr>
          <w:p w14:paraId="714CBA2E" w14:textId="34E98BB6" w:rsidR="000A5EC7" w:rsidRPr="00D70240" w:rsidRDefault="00D70240" w:rsidP="002B1B31">
            <w:pPr>
              <w:tabs>
                <w:tab w:val="left" w:pos="567"/>
              </w:tabs>
              <w:ind w:right="141"/>
              <w:jc w:val="right"/>
              <w:rPr>
                <w:rFonts w:cstheme="minorHAnsi"/>
              </w:rPr>
            </w:pPr>
            <w:r w:rsidRPr="00D70240">
              <w:rPr>
                <w:rFonts w:cstheme="minorHAnsi"/>
              </w:rPr>
              <w:t>9,765</w:t>
            </w:r>
          </w:p>
        </w:tc>
      </w:tr>
      <w:tr w:rsidR="00F729B1" w:rsidRPr="00813697" w14:paraId="26E358A3" w14:textId="77777777" w:rsidTr="002B1B31">
        <w:tc>
          <w:tcPr>
            <w:tcW w:w="4815" w:type="dxa"/>
          </w:tcPr>
          <w:p w14:paraId="44D7ABEE" w14:textId="77777777" w:rsidR="000A5EC7" w:rsidRPr="00663980" w:rsidRDefault="000A5EC7" w:rsidP="002B1B31">
            <w:pPr>
              <w:tabs>
                <w:tab w:val="left" w:pos="567"/>
              </w:tabs>
              <w:ind w:right="141"/>
              <w:rPr>
                <w:rFonts w:cstheme="minorHAnsi"/>
              </w:rPr>
            </w:pPr>
            <w:r w:rsidRPr="00663980">
              <w:rPr>
                <w:rFonts w:cstheme="minorHAnsi"/>
              </w:rPr>
              <w:t xml:space="preserve">Less MRP </w:t>
            </w:r>
          </w:p>
        </w:tc>
        <w:tc>
          <w:tcPr>
            <w:tcW w:w="2126" w:type="dxa"/>
          </w:tcPr>
          <w:p w14:paraId="20EBB01D" w14:textId="5DEE0214" w:rsidR="000A5EC7" w:rsidRPr="00950D88" w:rsidRDefault="000A5EC7" w:rsidP="002B1B31">
            <w:pPr>
              <w:tabs>
                <w:tab w:val="left" w:pos="567"/>
              </w:tabs>
              <w:ind w:right="141"/>
              <w:jc w:val="right"/>
              <w:rPr>
                <w:rFonts w:cstheme="minorHAnsi"/>
              </w:rPr>
            </w:pPr>
            <w:r w:rsidRPr="00950D88">
              <w:rPr>
                <w:rFonts w:cstheme="minorHAnsi"/>
              </w:rPr>
              <w:t>(</w:t>
            </w:r>
            <w:r w:rsidR="00950D88" w:rsidRPr="00950D88">
              <w:rPr>
                <w:rFonts w:cstheme="minorHAnsi"/>
              </w:rPr>
              <w:t>298</w:t>
            </w:r>
            <w:r w:rsidRPr="00950D88">
              <w:rPr>
                <w:rFonts w:cstheme="minorHAnsi"/>
              </w:rPr>
              <w:t>)</w:t>
            </w:r>
          </w:p>
        </w:tc>
        <w:tc>
          <w:tcPr>
            <w:tcW w:w="1985" w:type="dxa"/>
          </w:tcPr>
          <w:p w14:paraId="0CD01C89" w14:textId="502E8C9E" w:rsidR="000A5EC7" w:rsidRPr="00D70240" w:rsidRDefault="000A5EC7" w:rsidP="002B1B31">
            <w:pPr>
              <w:tabs>
                <w:tab w:val="left" w:pos="567"/>
              </w:tabs>
              <w:ind w:right="141"/>
              <w:jc w:val="right"/>
              <w:rPr>
                <w:rFonts w:cstheme="minorHAnsi"/>
              </w:rPr>
            </w:pPr>
            <w:r w:rsidRPr="00D70240">
              <w:rPr>
                <w:rFonts w:cstheme="minorHAnsi"/>
              </w:rPr>
              <w:t>(</w:t>
            </w:r>
            <w:r w:rsidR="00D70240" w:rsidRPr="00D70240">
              <w:rPr>
                <w:rFonts w:cstheme="minorHAnsi"/>
              </w:rPr>
              <w:t>358</w:t>
            </w:r>
            <w:r w:rsidRPr="00D70240">
              <w:rPr>
                <w:rFonts w:cstheme="minorHAnsi"/>
              </w:rPr>
              <w:t>)</w:t>
            </w:r>
          </w:p>
        </w:tc>
      </w:tr>
      <w:tr w:rsidR="00F729B1" w:rsidRPr="00813697" w14:paraId="3C26E60B" w14:textId="77777777" w:rsidTr="002B1B31">
        <w:tc>
          <w:tcPr>
            <w:tcW w:w="4815" w:type="dxa"/>
            <w:shd w:val="clear" w:color="auto" w:fill="EEECE1" w:themeFill="background2"/>
          </w:tcPr>
          <w:p w14:paraId="7ACC26C6" w14:textId="77777777" w:rsidR="000A5EC7" w:rsidRPr="00663980" w:rsidRDefault="000A5EC7" w:rsidP="002B1B31">
            <w:pPr>
              <w:tabs>
                <w:tab w:val="left" w:pos="567"/>
              </w:tabs>
              <w:ind w:right="141"/>
              <w:rPr>
                <w:rFonts w:cstheme="minorHAnsi"/>
                <w:b/>
                <w:bCs/>
              </w:rPr>
            </w:pPr>
          </w:p>
          <w:p w14:paraId="04F877AA" w14:textId="77777777" w:rsidR="000A5EC7" w:rsidRPr="00663980" w:rsidRDefault="000A5EC7" w:rsidP="002B1B31">
            <w:pPr>
              <w:tabs>
                <w:tab w:val="left" w:pos="567"/>
              </w:tabs>
              <w:ind w:right="141"/>
              <w:rPr>
                <w:rFonts w:cstheme="minorHAnsi"/>
                <w:b/>
                <w:bCs/>
              </w:rPr>
            </w:pPr>
            <w:r w:rsidRPr="00663980">
              <w:rPr>
                <w:rFonts w:cstheme="minorHAnsi"/>
                <w:b/>
                <w:bCs/>
              </w:rPr>
              <w:t>Closing CFR</w:t>
            </w:r>
          </w:p>
          <w:p w14:paraId="4B136071" w14:textId="77777777" w:rsidR="000A5EC7" w:rsidRPr="00663980" w:rsidRDefault="000A5EC7" w:rsidP="002B1B31">
            <w:pPr>
              <w:tabs>
                <w:tab w:val="left" w:pos="567"/>
              </w:tabs>
              <w:ind w:right="141"/>
              <w:rPr>
                <w:rFonts w:cstheme="minorHAnsi"/>
                <w:b/>
                <w:bCs/>
              </w:rPr>
            </w:pPr>
          </w:p>
        </w:tc>
        <w:tc>
          <w:tcPr>
            <w:tcW w:w="2126" w:type="dxa"/>
            <w:shd w:val="clear" w:color="auto" w:fill="EEECE1" w:themeFill="background2"/>
          </w:tcPr>
          <w:p w14:paraId="4167A4EB" w14:textId="77777777" w:rsidR="000A5EC7" w:rsidRPr="00663980" w:rsidRDefault="000A5EC7" w:rsidP="002B1B31">
            <w:pPr>
              <w:tabs>
                <w:tab w:val="left" w:pos="567"/>
              </w:tabs>
              <w:ind w:right="141"/>
              <w:jc w:val="right"/>
              <w:rPr>
                <w:rFonts w:cstheme="minorHAnsi"/>
                <w:b/>
                <w:bCs/>
              </w:rPr>
            </w:pPr>
          </w:p>
          <w:p w14:paraId="402EAB5B" w14:textId="0CA398D7" w:rsidR="000A5EC7" w:rsidRPr="00663980" w:rsidRDefault="00950D88" w:rsidP="002B1B31">
            <w:pPr>
              <w:tabs>
                <w:tab w:val="left" w:pos="567"/>
              </w:tabs>
              <w:ind w:right="141"/>
              <w:jc w:val="right"/>
              <w:rPr>
                <w:rFonts w:cstheme="minorHAnsi"/>
                <w:b/>
                <w:bCs/>
              </w:rPr>
            </w:pPr>
            <w:r>
              <w:rPr>
                <w:rFonts w:cstheme="minorHAnsi"/>
                <w:b/>
                <w:bCs/>
              </w:rPr>
              <w:t>3,509</w:t>
            </w:r>
          </w:p>
        </w:tc>
        <w:tc>
          <w:tcPr>
            <w:tcW w:w="1985" w:type="dxa"/>
            <w:shd w:val="clear" w:color="auto" w:fill="EEECE1" w:themeFill="background2"/>
          </w:tcPr>
          <w:p w14:paraId="59708FAF" w14:textId="77777777" w:rsidR="000A5EC7" w:rsidRPr="00663980" w:rsidRDefault="000A5EC7" w:rsidP="002B1B31">
            <w:pPr>
              <w:tabs>
                <w:tab w:val="left" w:pos="567"/>
              </w:tabs>
              <w:ind w:right="141"/>
              <w:jc w:val="right"/>
              <w:rPr>
                <w:rFonts w:cstheme="minorHAnsi"/>
                <w:b/>
                <w:bCs/>
              </w:rPr>
            </w:pPr>
          </w:p>
          <w:p w14:paraId="4E450D4E" w14:textId="6B0E38AE" w:rsidR="000A5EC7" w:rsidRPr="00663980" w:rsidRDefault="000A5EC7" w:rsidP="002B1B31">
            <w:pPr>
              <w:tabs>
                <w:tab w:val="left" w:pos="567"/>
              </w:tabs>
              <w:ind w:right="141"/>
              <w:jc w:val="right"/>
              <w:rPr>
                <w:rFonts w:cstheme="minorHAnsi"/>
                <w:b/>
                <w:bCs/>
              </w:rPr>
            </w:pPr>
            <w:r w:rsidRPr="00663980">
              <w:rPr>
                <w:rFonts w:cstheme="minorHAnsi"/>
                <w:b/>
                <w:bCs/>
              </w:rPr>
              <w:t>1</w:t>
            </w:r>
            <w:r w:rsidR="00D70240">
              <w:rPr>
                <w:rFonts w:cstheme="minorHAnsi"/>
                <w:b/>
                <w:bCs/>
              </w:rPr>
              <w:t>2</w:t>
            </w:r>
            <w:r w:rsidRPr="00663980">
              <w:rPr>
                <w:rFonts w:cstheme="minorHAnsi"/>
                <w:b/>
                <w:bCs/>
              </w:rPr>
              <w:t>,</w:t>
            </w:r>
            <w:r w:rsidR="00D70240">
              <w:rPr>
                <w:rFonts w:cstheme="minorHAnsi"/>
                <w:b/>
                <w:bCs/>
              </w:rPr>
              <w:t>916</w:t>
            </w:r>
          </w:p>
          <w:p w14:paraId="4A1C5648" w14:textId="77777777" w:rsidR="000A5EC7" w:rsidRPr="00663980" w:rsidRDefault="000A5EC7" w:rsidP="002B1B31">
            <w:pPr>
              <w:tabs>
                <w:tab w:val="left" w:pos="567"/>
              </w:tabs>
              <w:ind w:right="141"/>
              <w:jc w:val="right"/>
              <w:rPr>
                <w:rFonts w:cstheme="minorHAnsi"/>
                <w:b/>
                <w:bCs/>
              </w:rPr>
            </w:pPr>
          </w:p>
        </w:tc>
      </w:tr>
    </w:tbl>
    <w:p w14:paraId="07E993A5" w14:textId="77777777" w:rsidR="00C553DF" w:rsidRDefault="00C553DF" w:rsidP="000A5EC7">
      <w:pPr>
        <w:pBdr>
          <w:top w:val="single" w:sz="2" w:space="1" w:color="FFFFFF"/>
          <w:left w:val="single" w:sz="2" w:space="0" w:color="FFFFFF"/>
          <w:bottom w:val="single" w:sz="2" w:space="2" w:color="FFFFFF"/>
          <w:right w:val="single" w:sz="2" w:space="4" w:color="FFFFFF"/>
        </w:pBdr>
        <w:ind w:right="141"/>
        <w:rPr>
          <w:rFonts w:cstheme="minorHAnsi"/>
          <w:b/>
          <w:bCs/>
          <w:color w:val="4F81BD" w:themeColor="accent1"/>
        </w:rPr>
      </w:pPr>
    </w:p>
    <w:p w14:paraId="4EC4C888" w14:textId="4B90AA7E" w:rsidR="000A5EC7" w:rsidRPr="00663980" w:rsidRDefault="000A5EC7" w:rsidP="000A5EC7">
      <w:pPr>
        <w:pBdr>
          <w:top w:val="single" w:sz="2" w:space="1" w:color="FFFFFF"/>
          <w:left w:val="single" w:sz="2" w:space="0" w:color="FFFFFF"/>
          <w:bottom w:val="single" w:sz="2" w:space="2" w:color="FFFFFF"/>
          <w:right w:val="single" w:sz="2" w:space="4" w:color="FFFFFF"/>
        </w:pBdr>
        <w:ind w:right="141"/>
        <w:rPr>
          <w:rFonts w:cstheme="minorHAnsi"/>
          <w:b/>
          <w:bCs/>
        </w:rPr>
      </w:pPr>
      <w:r w:rsidRPr="00663980">
        <w:rPr>
          <w:rFonts w:cstheme="minorHAnsi"/>
          <w:b/>
          <w:bCs/>
        </w:rPr>
        <w:t>The CFR and Gross Debt</w:t>
      </w:r>
    </w:p>
    <w:p w14:paraId="3B368F07" w14:textId="77777777" w:rsidR="000A5EC7" w:rsidRPr="00663980" w:rsidRDefault="000A5EC7" w:rsidP="000A5EC7">
      <w:pPr>
        <w:pStyle w:val="ListParagraph"/>
        <w:numPr>
          <w:ilvl w:val="0"/>
          <w:numId w:val="20"/>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theme="minorHAnsi"/>
        </w:rPr>
      </w:pPr>
      <w:r w:rsidRPr="00663980">
        <w:rPr>
          <w:rFonts w:cstheme="minorHAnsi"/>
        </w:rPr>
        <w:t>In order to ensure that borrowing levels are prudent over the medium term and are only for capital purposes, the Council ensures that its gross external borrowing does not exceed the total of the CFR.</w:t>
      </w:r>
    </w:p>
    <w:p w14:paraId="5BE5B1FF" w14:textId="77777777" w:rsidR="00C553DF" w:rsidRPr="00663980" w:rsidRDefault="00C553DF" w:rsidP="00C553DF">
      <w:pPr>
        <w:pStyle w:val="ListParagraph"/>
        <w:pBdr>
          <w:top w:val="single" w:sz="2" w:space="1" w:color="FFFFFF"/>
          <w:left w:val="single" w:sz="2" w:space="0" w:color="FFFFFF"/>
          <w:bottom w:val="single" w:sz="2" w:space="2" w:color="FFFFFF"/>
          <w:right w:val="single" w:sz="2" w:space="4" w:color="FFFFFF"/>
        </w:pBdr>
        <w:spacing w:after="0" w:line="240" w:lineRule="auto"/>
        <w:ind w:left="567" w:right="141"/>
        <w:jc w:val="both"/>
        <w:rPr>
          <w:rFonts w:cstheme="minorHAnsi"/>
        </w:rPr>
      </w:pPr>
    </w:p>
    <w:p w14:paraId="5E555D5B" w14:textId="66BEE388" w:rsidR="00C553DF" w:rsidRDefault="000A5EC7" w:rsidP="000A5EC7">
      <w:pPr>
        <w:pStyle w:val="ListParagraph"/>
        <w:numPr>
          <w:ilvl w:val="0"/>
          <w:numId w:val="20"/>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theme="minorHAnsi"/>
        </w:rPr>
      </w:pPr>
      <w:r w:rsidRPr="00663980">
        <w:rPr>
          <w:rFonts w:cstheme="minorHAnsi"/>
        </w:rPr>
        <w:t>The borrowing position is summarised below, and no borrowing has been undertaken</w:t>
      </w:r>
      <w:r w:rsidR="00D61DD7">
        <w:rPr>
          <w:rFonts w:cstheme="minorHAnsi"/>
        </w:rPr>
        <w:t>.</w:t>
      </w:r>
      <w:r w:rsidRPr="00663980">
        <w:rPr>
          <w:rFonts w:cstheme="minorHAnsi"/>
        </w:rPr>
        <w:t xml:space="preserve"> Planned Capital Expenditure will be contained within the Council’s overall Treasury position where possible</w:t>
      </w:r>
      <w:r w:rsidR="00D8254A">
        <w:rPr>
          <w:rFonts w:cstheme="minorHAnsi"/>
        </w:rPr>
        <w:t>,</w:t>
      </w:r>
      <w:r w:rsidRPr="00663980">
        <w:rPr>
          <w:rFonts w:cstheme="minorHAnsi"/>
        </w:rPr>
        <w:t xml:space="preserve"> however borrowing </w:t>
      </w:r>
      <w:r w:rsidR="00663980" w:rsidRPr="00663980">
        <w:rPr>
          <w:rFonts w:cstheme="minorHAnsi"/>
        </w:rPr>
        <w:t>will potentially</w:t>
      </w:r>
      <w:r w:rsidRPr="00663980">
        <w:rPr>
          <w:rFonts w:cstheme="minorHAnsi"/>
        </w:rPr>
        <w:t xml:space="preserve"> be required in the future to fund the planned Capital Programme. The Council will however retain its “under-borrowed” position.</w:t>
      </w:r>
    </w:p>
    <w:p w14:paraId="68ED5611" w14:textId="5D9006C0" w:rsidR="00663980" w:rsidRDefault="00663980" w:rsidP="00663980">
      <w:pPr>
        <w:pStyle w:val="ListParagraph"/>
        <w:rPr>
          <w:rFonts w:cstheme="minorHAnsi"/>
        </w:rPr>
      </w:pPr>
    </w:p>
    <w:p w14:paraId="795FE6D6" w14:textId="77777777" w:rsidR="00D61DD7" w:rsidRPr="00663980" w:rsidRDefault="00D61DD7" w:rsidP="00663980">
      <w:pPr>
        <w:pStyle w:val="ListParagraph"/>
        <w:rPr>
          <w:rFonts w:cstheme="minorHAnsi"/>
        </w:rPr>
      </w:pPr>
    </w:p>
    <w:p w14:paraId="49E81EAB" w14:textId="7EF5FB3D" w:rsidR="00663980" w:rsidRDefault="00663980" w:rsidP="00663980">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theme="minorHAnsi"/>
        </w:rPr>
      </w:pPr>
    </w:p>
    <w:p w14:paraId="3DB45277" w14:textId="49CC6A15" w:rsidR="00663980" w:rsidRDefault="00663980" w:rsidP="00663980">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theme="minorHAnsi"/>
        </w:rPr>
      </w:pPr>
    </w:p>
    <w:p w14:paraId="420E9314" w14:textId="77777777" w:rsidR="00663980" w:rsidRPr="00663980" w:rsidRDefault="00663980" w:rsidP="00663980">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theme="minorHAnsi"/>
        </w:rPr>
      </w:pPr>
    </w:p>
    <w:p w14:paraId="74ACE22B" w14:textId="15EA7348" w:rsidR="000A5EC7" w:rsidRPr="00C553DF" w:rsidRDefault="000A5EC7" w:rsidP="00C553DF">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theme="minorHAnsi"/>
          <w:color w:val="4F81BD" w:themeColor="accent1"/>
        </w:rPr>
      </w:pPr>
      <w:r w:rsidRPr="00C553DF">
        <w:rPr>
          <w:rFonts w:cstheme="minorHAnsi"/>
          <w:color w:val="4F81BD" w:themeColor="accent1"/>
        </w:rPr>
        <w:t xml:space="preserve"> </w:t>
      </w:r>
    </w:p>
    <w:tbl>
      <w:tblPr>
        <w:tblStyle w:val="TableGrid"/>
        <w:tblW w:w="0" w:type="auto"/>
        <w:tblInd w:w="567" w:type="dxa"/>
        <w:tblLook w:val="04A0" w:firstRow="1" w:lastRow="0" w:firstColumn="1" w:lastColumn="0" w:noHBand="0" w:noVBand="1"/>
      </w:tblPr>
      <w:tblGrid>
        <w:gridCol w:w="4815"/>
        <w:gridCol w:w="2126"/>
        <w:gridCol w:w="1985"/>
      </w:tblGrid>
      <w:tr w:rsidR="00F729B1" w:rsidRPr="00813697" w14:paraId="40384F4F" w14:textId="77777777" w:rsidTr="002B1B31">
        <w:tc>
          <w:tcPr>
            <w:tcW w:w="4815" w:type="dxa"/>
            <w:shd w:val="clear" w:color="auto" w:fill="EEECE1" w:themeFill="background2"/>
          </w:tcPr>
          <w:p w14:paraId="5DBA24CF" w14:textId="77777777" w:rsidR="000A5EC7" w:rsidRPr="00663980" w:rsidRDefault="000A5EC7" w:rsidP="002B1B31">
            <w:pPr>
              <w:tabs>
                <w:tab w:val="left" w:pos="567"/>
              </w:tabs>
              <w:ind w:right="141"/>
              <w:rPr>
                <w:rFonts w:cstheme="minorHAnsi"/>
                <w:b/>
                <w:bCs/>
              </w:rPr>
            </w:pPr>
            <w:bookmarkStart w:id="1" w:name="_Hlk108013646"/>
            <w:r w:rsidRPr="00663980">
              <w:rPr>
                <w:rFonts w:cstheme="minorHAnsi"/>
                <w:b/>
                <w:bCs/>
              </w:rPr>
              <w:lastRenderedPageBreak/>
              <w:t>Table 3 - Actual Debt : CFR</w:t>
            </w:r>
          </w:p>
        </w:tc>
        <w:tc>
          <w:tcPr>
            <w:tcW w:w="2126" w:type="dxa"/>
            <w:shd w:val="clear" w:color="auto" w:fill="EEECE1" w:themeFill="background2"/>
          </w:tcPr>
          <w:p w14:paraId="4922F2E3" w14:textId="77777777" w:rsidR="000A5EC7" w:rsidRPr="00663980" w:rsidRDefault="000A5EC7" w:rsidP="002B1B31">
            <w:pPr>
              <w:tabs>
                <w:tab w:val="left" w:pos="567"/>
              </w:tabs>
              <w:ind w:right="141"/>
              <w:jc w:val="center"/>
              <w:rPr>
                <w:rFonts w:cstheme="minorHAnsi"/>
                <w:b/>
                <w:bCs/>
              </w:rPr>
            </w:pPr>
            <w:r w:rsidRPr="00663980">
              <w:rPr>
                <w:rFonts w:cstheme="minorHAnsi"/>
                <w:b/>
                <w:bCs/>
              </w:rPr>
              <w:t>2021/22</w:t>
            </w:r>
          </w:p>
          <w:p w14:paraId="5CCCD890" w14:textId="77777777" w:rsidR="000A5EC7" w:rsidRPr="00663980" w:rsidRDefault="000A5EC7" w:rsidP="002B1B31">
            <w:pPr>
              <w:tabs>
                <w:tab w:val="left" w:pos="567"/>
              </w:tabs>
              <w:ind w:right="141"/>
              <w:jc w:val="center"/>
              <w:rPr>
                <w:rFonts w:cstheme="minorHAnsi"/>
                <w:b/>
                <w:bCs/>
              </w:rPr>
            </w:pPr>
          </w:p>
          <w:p w14:paraId="399CEDF2" w14:textId="77777777" w:rsidR="000A5EC7" w:rsidRPr="00663980" w:rsidRDefault="000A5EC7" w:rsidP="002B1B31">
            <w:pPr>
              <w:tabs>
                <w:tab w:val="left" w:pos="567"/>
              </w:tabs>
              <w:ind w:right="141"/>
              <w:jc w:val="center"/>
              <w:rPr>
                <w:rFonts w:cstheme="minorHAnsi"/>
                <w:b/>
                <w:bCs/>
              </w:rPr>
            </w:pPr>
            <w:r w:rsidRPr="00663980">
              <w:rPr>
                <w:rFonts w:cstheme="minorHAnsi"/>
                <w:b/>
                <w:bCs/>
              </w:rPr>
              <w:t>Actual</w:t>
            </w:r>
          </w:p>
          <w:p w14:paraId="54612A64" w14:textId="77777777" w:rsidR="000A5EC7" w:rsidRPr="00663980" w:rsidRDefault="000A5EC7" w:rsidP="002B1B31">
            <w:pPr>
              <w:tabs>
                <w:tab w:val="left" w:pos="567"/>
              </w:tabs>
              <w:ind w:right="141"/>
              <w:jc w:val="center"/>
              <w:rPr>
                <w:rFonts w:cstheme="minorHAnsi"/>
                <w:b/>
                <w:bCs/>
              </w:rPr>
            </w:pPr>
          </w:p>
          <w:p w14:paraId="2EA41120" w14:textId="77777777" w:rsidR="000A5EC7" w:rsidRPr="00663980" w:rsidRDefault="000A5EC7" w:rsidP="002B1B31">
            <w:pPr>
              <w:tabs>
                <w:tab w:val="left" w:pos="567"/>
              </w:tabs>
              <w:ind w:right="141"/>
              <w:jc w:val="center"/>
              <w:rPr>
                <w:rFonts w:cstheme="minorHAnsi"/>
                <w:b/>
                <w:bCs/>
              </w:rPr>
            </w:pPr>
            <w:r w:rsidRPr="00663980">
              <w:rPr>
                <w:rFonts w:cstheme="minorHAnsi"/>
                <w:b/>
                <w:bCs/>
              </w:rPr>
              <w:t>£’000</w:t>
            </w:r>
          </w:p>
          <w:p w14:paraId="6731C773" w14:textId="77777777" w:rsidR="000A5EC7" w:rsidRPr="00663980" w:rsidRDefault="000A5EC7" w:rsidP="002B1B31">
            <w:pPr>
              <w:tabs>
                <w:tab w:val="left" w:pos="567"/>
              </w:tabs>
              <w:ind w:right="141"/>
              <w:jc w:val="center"/>
              <w:rPr>
                <w:rFonts w:cstheme="minorHAnsi"/>
                <w:b/>
                <w:bCs/>
              </w:rPr>
            </w:pPr>
          </w:p>
        </w:tc>
        <w:tc>
          <w:tcPr>
            <w:tcW w:w="1985" w:type="dxa"/>
            <w:shd w:val="clear" w:color="auto" w:fill="EEECE1" w:themeFill="background2"/>
          </w:tcPr>
          <w:p w14:paraId="7BBD63E9" w14:textId="77777777" w:rsidR="000A5EC7" w:rsidRPr="00663980" w:rsidRDefault="000A5EC7" w:rsidP="002B1B31">
            <w:pPr>
              <w:tabs>
                <w:tab w:val="left" w:pos="567"/>
              </w:tabs>
              <w:ind w:right="141"/>
              <w:jc w:val="center"/>
              <w:rPr>
                <w:rFonts w:cstheme="minorHAnsi"/>
                <w:b/>
                <w:bCs/>
              </w:rPr>
            </w:pPr>
            <w:r w:rsidRPr="00663980">
              <w:rPr>
                <w:rFonts w:cstheme="minorHAnsi"/>
                <w:b/>
                <w:bCs/>
              </w:rPr>
              <w:t>2022/23</w:t>
            </w:r>
          </w:p>
          <w:p w14:paraId="2BAED962" w14:textId="77777777" w:rsidR="000A5EC7" w:rsidRPr="00663980" w:rsidRDefault="000A5EC7" w:rsidP="002B1B31">
            <w:pPr>
              <w:tabs>
                <w:tab w:val="left" w:pos="567"/>
              </w:tabs>
              <w:ind w:right="141"/>
              <w:jc w:val="center"/>
              <w:rPr>
                <w:rFonts w:cstheme="minorHAnsi"/>
                <w:b/>
                <w:bCs/>
              </w:rPr>
            </w:pPr>
          </w:p>
          <w:p w14:paraId="6DD64244" w14:textId="77777777" w:rsidR="000A5EC7" w:rsidRPr="00663980" w:rsidRDefault="000A5EC7" w:rsidP="002B1B31">
            <w:pPr>
              <w:tabs>
                <w:tab w:val="left" w:pos="567"/>
              </w:tabs>
              <w:ind w:right="141"/>
              <w:jc w:val="center"/>
              <w:rPr>
                <w:rFonts w:cstheme="minorHAnsi"/>
                <w:b/>
                <w:bCs/>
              </w:rPr>
            </w:pPr>
            <w:r w:rsidRPr="00663980">
              <w:rPr>
                <w:rFonts w:cstheme="minorHAnsi"/>
                <w:b/>
                <w:bCs/>
              </w:rPr>
              <w:t>As at 30/9/22</w:t>
            </w:r>
          </w:p>
          <w:p w14:paraId="4FB91759" w14:textId="77777777" w:rsidR="000A5EC7" w:rsidRPr="00663980" w:rsidRDefault="000A5EC7" w:rsidP="002B1B31">
            <w:pPr>
              <w:tabs>
                <w:tab w:val="left" w:pos="567"/>
              </w:tabs>
              <w:ind w:right="141"/>
              <w:jc w:val="center"/>
              <w:rPr>
                <w:rFonts w:cstheme="minorHAnsi"/>
                <w:b/>
                <w:bCs/>
              </w:rPr>
            </w:pPr>
          </w:p>
          <w:p w14:paraId="0AC199DC" w14:textId="77777777" w:rsidR="000A5EC7" w:rsidRPr="00663980" w:rsidRDefault="000A5EC7" w:rsidP="002B1B31">
            <w:pPr>
              <w:tabs>
                <w:tab w:val="left" w:pos="567"/>
              </w:tabs>
              <w:ind w:right="141"/>
              <w:jc w:val="center"/>
              <w:rPr>
                <w:rFonts w:cstheme="minorHAnsi"/>
                <w:b/>
                <w:bCs/>
              </w:rPr>
            </w:pPr>
            <w:r w:rsidRPr="00663980">
              <w:rPr>
                <w:rFonts w:cstheme="minorHAnsi"/>
                <w:b/>
                <w:bCs/>
              </w:rPr>
              <w:t>£’000</w:t>
            </w:r>
          </w:p>
        </w:tc>
      </w:tr>
      <w:tr w:rsidR="00F729B1" w:rsidRPr="00813697" w14:paraId="26F15667" w14:textId="77777777" w:rsidTr="002B1B31">
        <w:tc>
          <w:tcPr>
            <w:tcW w:w="4815" w:type="dxa"/>
          </w:tcPr>
          <w:p w14:paraId="4B4760FE" w14:textId="77777777" w:rsidR="000A5EC7" w:rsidRPr="00663980" w:rsidRDefault="000A5EC7" w:rsidP="002B1B31">
            <w:pPr>
              <w:tabs>
                <w:tab w:val="left" w:pos="567"/>
              </w:tabs>
              <w:ind w:right="141"/>
              <w:rPr>
                <w:rFonts w:cstheme="minorHAnsi"/>
              </w:rPr>
            </w:pPr>
            <w:r w:rsidRPr="00663980">
              <w:rPr>
                <w:rFonts w:cstheme="minorHAnsi"/>
              </w:rPr>
              <w:t>Debt &lt; 12 mth</w:t>
            </w:r>
          </w:p>
        </w:tc>
        <w:tc>
          <w:tcPr>
            <w:tcW w:w="2126" w:type="dxa"/>
          </w:tcPr>
          <w:p w14:paraId="0C60BB35" w14:textId="2768F2DD" w:rsidR="000A5EC7" w:rsidRPr="00D70240" w:rsidRDefault="00D70240" w:rsidP="002B1B31">
            <w:pPr>
              <w:tabs>
                <w:tab w:val="left" w:pos="567"/>
              </w:tabs>
              <w:ind w:right="141"/>
              <w:jc w:val="right"/>
              <w:rPr>
                <w:rFonts w:cstheme="minorHAnsi"/>
              </w:rPr>
            </w:pPr>
            <w:r w:rsidRPr="00D70240">
              <w:rPr>
                <w:rFonts w:cstheme="minorHAnsi"/>
              </w:rPr>
              <w:t>0</w:t>
            </w:r>
          </w:p>
        </w:tc>
        <w:tc>
          <w:tcPr>
            <w:tcW w:w="1985" w:type="dxa"/>
          </w:tcPr>
          <w:p w14:paraId="75FA85F1" w14:textId="1FE2E738" w:rsidR="000A5EC7" w:rsidRPr="00D70240" w:rsidRDefault="00D70240" w:rsidP="002B1B31">
            <w:pPr>
              <w:tabs>
                <w:tab w:val="left" w:pos="567"/>
              </w:tabs>
              <w:ind w:right="141"/>
              <w:jc w:val="right"/>
              <w:rPr>
                <w:rFonts w:cstheme="minorHAnsi"/>
              </w:rPr>
            </w:pPr>
            <w:r w:rsidRPr="00D70240">
              <w:rPr>
                <w:rFonts w:cstheme="minorHAnsi"/>
              </w:rPr>
              <w:t>0</w:t>
            </w:r>
          </w:p>
        </w:tc>
      </w:tr>
      <w:tr w:rsidR="00F729B1" w:rsidRPr="00813697" w14:paraId="7C0696BE" w14:textId="77777777" w:rsidTr="002B1B31">
        <w:tc>
          <w:tcPr>
            <w:tcW w:w="4815" w:type="dxa"/>
          </w:tcPr>
          <w:p w14:paraId="138C7DF8" w14:textId="77777777" w:rsidR="000A5EC7" w:rsidRPr="00663980" w:rsidRDefault="000A5EC7" w:rsidP="002B1B31">
            <w:pPr>
              <w:tabs>
                <w:tab w:val="left" w:pos="567"/>
              </w:tabs>
              <w:ind w:right="141"/>
              <w:rPr>
                <w:rFonts w:cstheme="minorHAnsi"/>
              </w:rPr>
            </w:pPr>
            <w:r w:rsidRPr="00663980">
              <w:rPr>
                <w:rFonts w:cstheme="minorHAnsi"/>
              </w:rPr>
              <w:t>Debt &gt; 12 mth</w:t>
            </w:r>
          </w:p>
        </w:tc>
        <w:tc>
          <w:tcPr>
            <w:tcW w:w="2126" w:type="dxa"/>
          </w:tcPr>
          <w:p w14:paraId="0FC950B0" w14:textId="6E87DB80" w:rsidR="000A5EC7" w:rsidRPr="00D70240" w:rsidRDefault="00D70240" w:rsidP="002B1B31">
            <w:pPr>
              <w:tabs>
                <w:tab w:val="left" w:pos="567"/>
              </w:tabs>
              <w:ind w:right="141"/>
              <w:jc w:val="right"/>
              <w:rPr>
                <w:rFonts w:cstheme="minorHAnsi"/>
              </w:rPr>
            </w:pPr>
            <w:r w:rsidRPr="00D70240">
              <w:rPr>
                <w:rFonts w:cstheme="minorHAnsi"/>
              </w:rPr>
              <w:t>0</w:t>
            </w:r>
          </w:p>
        </w:tc>
        <w:tc>
          <w:tcPr>
            <w:tcW w:w="1985" w:type="dxa"/>
          </w:tcPr>
          <w:p w14:paraId="39292F41" w14:textId="1F9E4CD8" w:rsidR="000A5EC7" w:rsidRPr="00D70240" w:rsidRDefault="00D70240" w:rsidP="002B1B31">
            <w:pPr>
              <w:tabs>
                <w:tab w:val="left" w:pos="567"/>
              </w:tabs>
              <w:ind w:right="141"/>
              <w:jc w:val="right"/>
              <w:rPr>
                <w:rFonts w:cstheme="minorHAnsi"/>
              </w:rPr>
            </w:pPr>
            <w:r w:rsidRPr="00D70240">
              <w:rPr>
                <w:rFonts w:cstheme="minorHAnsi"/>
              </w:rPr>
              <w:t>0</w:t>
            </w:r>
          </w:p>
        </w:tc>
      </w:tr>
      <w:bookmarkEnd w:id="1"/>
      <w:tr w:rsidR="00F729B1" w:rsidRPr="00813697" w14:paraId="0E777F24" w14:textId="77777777" w:rsidTr="002B1B31">
        <w:tc>
          <w:tcPr>
            <w:tcW w:w="4815" w:type="dxa"/>
          </w:tcPr>
          <w:p w14:paraId="23D1F7D4" w14:textId="77777777" w:rsidR="000A5EC7" w:rsidRPr="00D8254A" w:rsidRDefault="000A5EC7" w:rsidP="002B1B31">
            <w:pPr>
              <w:tabs>
                <w:tab w:val="left" w:pos="567"/>
              </w:tabs>
              <w:ind w:right="141"/>
              <w:rPr>
                <w:rFonts w:cstheme="minorHAnsi"/>
                <w:b/>
                <w:bCs/>
              </w:rPr>
            </w:pPr>
          </w:p>
          <w:p w14:paraId="491D3CC8" w14:textId="77777777" w:rsidR="000A5EC7" w:rsidRPr="00D8254A" w:rsidRDefault="000A5EC7" w:rsidP="002B1B31">
            <w:pPr>
              <w:tabs>
                <w:tab w:val="left" w:pos="567"/>
              </w:tabs>
              <w:ind w:right="141"/>
              <w:rPr>
                <w:rFonts w:cstheme="minorHAnsi"/>
                <w:b/>
                <w:bCs/>
              </w:rPr>
            </w:pPr>
            <w:r w:rsidRPr="00D8254A">
              <w:rPr>
                <w:rFonts w:cstheme="minorHAnsi"/>
                <w:b/>
                <w:bCs/>
              </w:rPr>
              <w:t xml:space="preserve">Gross Debt </w:t>
            </w:r>
          </w:p>
          <w:p w14:paraId="01B1AA6A" w14:textId="77777777" w:rsidR="000A5EC7" w:rsidRPr="00D8254A" w:rsidRDefault="000A5EC7" w:rsidP="002B1B31">
            <w:pPr>
              <w:tabs>
                <w:tab w:val="left" w:pos="567"/>
              </w:tabs>
              <w:ind w:right="141"/>
              <w:rPr>
                <w:rFonts w:cstheme="minorHAnsi"/>
                <w:b/>
                <w:bCs/>
              </w:rPr>
            </w:pPr>
          </w:p>
        </w:tc>
        <w:tc>
          <w:tcPr>
            <w:tcW w:w="2126" w:type="dxa"/>
          </w:tcPr>
          <w:p w14:paraId="17E34B40" w14:textId="77777777" w:rsidR="000A5EC7" w:rsidRPr="00D8254A" w:rsidRDefault="000A5EC7" w:rsidP="002B1B31">
            <w:pPr>
              <w:tabs>
                <w:tab w:val="left" w:pos="567"/>
              </w:tabs>
              <w:ind w:right="141"/>
              <w:jc w:val="right"/>
              <w:rPr>
                <w:rFonts w:cstheme="minorHAnsi"/>
                <w:b/>
                <w:bCs/>
              </w:rPr>
            </w:pPr>
          </w:p>
          <w:p w14:paraId="05CA8636" w14:textId="51C9550C" w:rsidR="000A5EC7" w:rsidRPr="00D8254A" w:rsidRDefault="00D70240" w:rsidP="002B1B31">
            <w:pPr>
              <w:tabs>
                <w:tab w:val="left" w:pos="567"/>
              </w:tabs>
              <w:ind w:right="141"/>
              <w:jc w:val="right"/>
              <w:rPr>
                <w:rFonts w:cstheme="minorHAnsi"/>
                <w:b/>
                <w:bCs/>
              </w:rPr>
            </w:pPr>
            <w:r w:rsidRPr="00D8254A">
              <w:rPr>
                <w:rFonts w:cstheme="minorHAnsi"/>
                <w:b/>
                <w:bCs/>
              </w:rPr>
              <w:t>0</w:t>
            </w:r>
          </w:p>
        </w:tc>
        <w:tc>
          <w:tcPr>
            <w:tcW w:w="1985" w:type="dxa"/>
          </w:tcPr>
          <w:p w14:paraId="458B7353" w14:textId="77777777" w:rsidR="000A5EC7" w:rsidRPr="00D8254A" w:rsidRDefault="000A5EC7" w:rsidP="002B1B31">
            <w:pPr>
              <w:tabs>
                <w:tab w:val="left" w:pos="567"/>
              </w:tabs>
              <w:ind w:right="141"/>
              <w:jc w:val="right"/>
              <w:rPr>
                <w:rFonts w:cstheme="minorHAnsi"/>
                <w:b/>
                <w:bCs/>
              </w:rPr>
            </w:pPr>
          </w:p>
          <w:p w14:paraId="11D4095A" w14:textId="0553B150" w:rsidR="000A5EC7" w:rsidRPr="00D8254A" w:rsidRDefault="00D70240" w:rsidP="002B1B31">
            <w:pPr>
              <w:tabs>
                <w:tab w:val="left" w:pos="567"/>
              </w:tabs>
              <w:ind w:right="141"/>
              <w:jc w:val="right"/>
              <w:rPr>
                <w:rFonts w:cstheme="minorHAnsi"/>
                <w:b/>
                <w:bCs/>
              </w:rPr>
            </w:pPr>
            <w:r w:rsidRPr="00D8254A">
              <w:rPr>
                <w:rFonts w:cstheme="minorHAnsi"/>
                <w:b/>
                <w:bCs/>
              </w:rPr>
              <w:t>0</w:t>
            </w:r>
          </w:p>
        </w:tc>
      </w:tr>
      <w:tr w:rsidR="00F729B1" w:rsidRPr="00813697" w14:paraId="1138CFBB" w14:textId="77777777" w:rsidTr="002B1B31">
        <w:tc>
          <w:tcPr>
            <w:tcW w:w="4815" w:type="dxa"/>
          </w:tcPr>
          <w:p w14:paraId="19553975" w14:textId="77777777" w:rsidR="000A5EC7" w:rsidRPr="00663980" w:rsidRDefault="000A5EC7" w:rsidP="002B1B31">
            <w:pPr>
              <w:tabs>
                <w:tab w:val="left" w:pos="567"/>
              </w:tabs>
              <w:ind w:right="141"/>
              <w:rPr>
                <w:rFonts w:cstheme="minorHAnsi"/>
              </w:rPr>
            </w:pPr>
          </w:p>
          <w:p w14:paraId="758A0BE0" w14:textId="77777777" w:rsidR="000A5EC7" w:rsidRPr="00663980" w:rsidRDefault="000A5EC7" w:rsidP="002B1B31">
            <w:pPr>
              <w:tabs>
                <w:tab w:val="left" w:pos="567"/>
              </w:tabs>
              <w:ind w:right="141"/>
              <w:rPr>
                <w:rFonts w:cstheme="minorHAnsi"/>
              </w:rPr>
            </w:pPr>
            <w:r w:rsidRPr="00663980">
              <w:rPr>
                <w:rFonts w:cstheme="minorHAnsi"/>
              </w:rPr>
              <w:t>Capital Financing Requirement (Table 2)</w:t>
            </w:r>
          </w:p>
          <w:p w14:paraId="4BF6906D" w14:textId="77777777" w:rsidR="000A5EC7" w:rsidRPr="00663980" w:rsidRDefault="000A5EC7" w:rsidP="002B1B31">
            <w:pPr>
              <w:tabs>
                <w:tab w:val="left" w:pos="567"/>
              </w:tabs>
              <w:ind w:right="141"/>
              <w:rPr>
                <w:rFonts w:cstheme="minorHAnsi"/>
              </w:rPr>
            </w:pPr>
          </w:p>
        </w:tc>
        <w:tc>
          <w:tcPr>
            <w:tcW w:w="2126" w:type="dxa"/>
          </w:tcPr>
          <w:p w14:paraId="4D0F8FC5" w14:textId="77777777" w:rsidR="000A5EC7" w:rsidRPr="00D70240" w:rsidRDefault="000A5EC7" w:rsidP="002B1B31">
            <w:pPr>
              <w:tabs>
                <w:tab w:val="left" w:pos="567"/>
              </w:tabs>
              <w:ind w:right="141"/>
              <w:jc w:val="right"/>
              <w:rPr>
                <w:rFonts w:cstheme="minorHAnsi"/>
              </w:rPr>
            </w:pPr>
          </w:p>
          <w:p w14:paraId="690B612A" w14:textId="0AEF5272" w:rsidR="000A5EC7" w:rsidRPr="00D70240" w:rsidRDefault="00D70240" w:rsidP="002B1B31">
            <w:pPr>
              <w:tabs>
                <w:tab w:val="left" w:pos="567"/>
              </w:tabs>
              <w:ind w:right="141"/>
              <w:jc w:val="right"/>
              <w:rPr>
                <w:rFonts w:cstheme="minorHAnsi"/>
              </w:rPr>
            </w:pPr>
            <w:r w:rsidRPr="00D70240">
              <w:rPr>
                <w:rFonts w:cstheme="minorHAnsi"/>
              </w:rPr>
              <w:t>3,509</w:t>
            </w:r>
          </w:p>
        </w:tc>
        <w:tc>
          <w:tcPr>
            <w:tcW w:w="1985" w:type="dxa"/>
          </w:tcPr>
          <w:p w14:paraId="749B77F9" w14:textId="77777777" w:rsidR="000A5EC7" w:rsidRPr="00D70240" w:rsidRDefault="000A5EC7" w:rsidP="002B1B31">
            <w:pPr>
              <w:tabs>
                <w:tab w:val="left" w:pos="567"/>
              </w:tabs>
              <w:ind w:right="141"/>
              <w:jc w:val="right"/>
              <w:rPr>
                <w:rFonts w:cstheme="minorHAnsi"/>
              </w:rPr>
            </w:pPr>
          </w:p>
          <w:p w14:paraId="0B5684FF" w14:textId="1534F0EF" w:rsidR="000A5EC7" w:rsidRPr="00D70240" w:rsidRDefault="00D70240" w:rsidP="002B1B31">
            <w:pPr>
              <w:tabs>
                <w:tab w:val="left" w:pos="567"/>
              </w:tabs>
              <w:ind w:right="141"/>
              <w:jc w:val="right"/>
              <w:rPr>
                <w:rFonts w:cstheme="minorHAnsi"/>
              </w:rPr>
            </w:pPr>
            <w:r w:rsidRPr="00D70240">
              <w:rPr>
                <w:rFonts w:cstheme="minorHAnsi"/>
              </w:rPr>
              <w:t>12,916</w:t>
            </w:r>
          </w:p>
        </w:tc>
      </w:tr>
      <w:tr w:rsidR="00F729B1" w:rsidRPr="00813697" w14:paraId="339F937B" w14:textId="77777777" w:rsidTr="002B1B31">
        <w:tc>
          <w:tcPr>
            <w:tcW w:w="4815" w:type="dxa"/>
            <w:shd w:val="clear" w:color="auto" w:fill="EEECE1" w:themeFill="background2"/>
          </w:tcPr>
          <w:p w14:paraId="4B85E90A" w14:textId="77777777" w:rsidR="000A5EC7" w:rsidRPr="00663980" w:rsidRDefault="000A5EC7" w:rsidP="002B1B31">
            <w:pPr>
              <w:tabs>
                <w:tab w:val="left" w:pos="567"/>
              </w:tabs>
              <w:ind w:right="141"/>
              <w:rPr>
                <w:rFonts w:cstheme="minorHAnsi"/>
                <w:b/>
                <w:bCs/>
              </w:rPr>
            </w:pPr>
          </w:p>
          <w:p w14:paraId="6B49EFA2" w14:textId="77777777" w:rsidR="000A5EC7" w:rsidRPr="00663980" w:rsidRDefault="000A5EC7" w:rsidP="002B1B31">
            <w:pPr>
              <w:tabs>
                <w:tab w:val="left" w:pos="567"/>
              </w:tabs>
              <w:ind w:right="141"/>
              <w:rPr>
                <w:rFonts w:cstheme="minorHAnsi"/>
                <w:b/>
                <w:bCs/>
              </w:rPr>
            </w:pPr>
            <w:r w:rsidRPr="00663980">
              <w:rPr>
                <w:rFonts w:cstheme="minorHAnsi"/>
                <w:b/>
                <w:bCs/>
              </w:rPr>
              <w:t>Under / (Over) Borrowing</w:t>
            </w:r>
          </w:p>
          <w:p w14:paraId="0E7B133D" w14:textId="77777777" w:rsidR="000A5EC7" w:rsidRPr="00663980" w:rsidRDefault="000A5EC7" w:rsidP="002B1B31">
            <w:pPr>
              <w:tabs>
                <w:tab w:val="left" w:pos="567"/>
              </w:tabs>
              <w:ind w:right="141"/>
              <w:rPr>
                <w:rFonts w:cstheme="minorHAnsi"/>
                <w:b/>
                <w:bCs/>
              </w:rPr>
            </w:pPr>
          </w:p>
        </w:tc>
        <w:tc>
          <w:tcPr>
            <w:tcW w:w="2126" w:type="dxa"/>
            <w:shd w:val="clear" w:color="auto" w:fill="EEECE1" w:themeFill="background2"/>
          </w:tcPr>
          <w:p w14:paraId="229DC887" w14:textId="77777777" w:rsidR="000A5EC7" w:rsidRPr="00663980" w:rsidRDefault="000A5EC7" w:rsidP="002B1B31">
            <w:pPr>
              <w:tabs>
                <w:tab w:val="left" w:pos="567"/>
              </w:tabs>
              <w:ind w:right="141"/>
              <w:jc w:val="right"/>
              <w:rPr>
                <w:rFonts w:cstheme="minorHAnsi"/>
                <w:b/>
                <w:bCs/>
              </w:rPr>
            </w:pPr>
          </w:p>
          <w:p w14:paraId="1A22B3D1" w14:textId="6684F4CC" w:rsidR="000A5EC7" w:rsidRPr="00663980" w:rsidRDefault="00D70240" w:rsidP="002B1B31">
            <w:pPr>
              <w:tabs>
                <w:tab w:val="left" w:pos="567"/>
              </w:tabs>
              <w:ind w:right="141"/>
              <w:jc w:val="right"/>
              <w:rPr>
                <w:rFonts w:cstheme="minorHAnsi"/>
                <w:b/>
                <w:bCs/>
              </w:rPr>
            </w:pPr>
            <w:r>
              <w:rPr>
                <w:rFonts w:cstheme="minorHAnsi"/>
                <w:b/>
                <w:bCs/>
              </w:rPr>
              <w:t>3,509</w:t>
            </w:r>
          </w:p>
        </w:tc>
        <w:tc>
          <w:tcPr>
            <w:tcW w:w="1985" w:type="dxa"/>
            <w:shd w:val="clear" w:color="auto" w:fill="EEECE1" w:themeFill="background2"/>
          </w:tcPr>
          <w:p w14:paraId="40592B6C" w14:textId="77777777" w:rsidR="000A5EC7" w:rsidRPr="00663980" w:rsidRDefault="000A5EC7" w:rsidP="002B1B31">
            <w:pPr>
              <w:tabs>
                <w:tab w:val="left" w:pos="567"/>
              </w:tabs>
              <w:ind w:right="141"/>
              <w:jc w:val="right"/>
              <w:rPr>
                <w:rFonts w:cstheme="minorHAnsi"/>
                <w:b/>
                <w:bCs/>
              </w:rPr>
            </w:pPr>
          </w:p>
          <w:p w14:paraId="37E3A78D" w14:textId="685D61D6" w:rsidR="000A5EC7" w:rsidRPr="00663980" w:rsidRDefault="00D70240" w:rsidP="002B1B31">
            <w:pPr>
              <w:tabs>
                <w:tab w:val="left" w:pos="567"/>
              </w:tabs>
              <w:ind w:right="141"/>
              <w:jc w:val="right"/>
              <w:rPr>
                <w:rFonts w:cstheme="minorHAnsi"/>
                <w:b/>
                <w:bCs/>
              </w:rPr>
            </w:pPr>
            <w:r>
              <w:rPr>
                <w:rFonts w:cstheme="minorHAnsi"/>
                <w:b/>
                <w:bCs/>
              </w:rPr>
              <w:t>12,916</w:t>
            </w:r>
          </w:p>
        </w:tc>
      </w:tr>
    </w:tbl>
    <w:p w14:paraId="0BE9A590" w14:textId="77777777" w:rsidR="000A5EC7" w:rsidRPr="00813697" w:rsidRDefault="000A5EC7" w:rsidP="000A5EC7">
      <w:pPr>
        <w:pBdr>
          <w:top w:val="single" w:sz="2" w:space="1" w:color="FFFFFF"/>
          <w:left w:val="single" w:sz="2" w:space="0" w:color="FFFFFF"/>
          <w:bottom w:val="single" w:sz="2" w:space="2" w:color="FFFFFF"/>
          <w:right w:val="single" w:sz="2" w:space="4" w:color="FFFFFF"/>
        </w:pBdr>
        <w:tabs>
          <w:tab w:val="left" w:pos="567"/>
        </w:tabs>
        <w:ind w:left="567" w:right="141"/>
        <w:rPr>
          <w:rFonts w:cstheme="minorHAnsi"/>
          <w:color w:val="4F81BD" w:themeColor="accent1"/>
        </w:rPr>
      </w:pPr>
    </w:p>
    <w:p w14:paraId="31EBA119" w14:textId="30B0A1BC" w:rsidR="000A5EC7" w:rsidRDefault="000A5EC7" w:rsidP="00F03143">
      <w:pPr>
        <w:pStyle w:val="ListParagraph"/>
        <w:numPr>
          <w:ilvl w:val="0"/>
          <w:numId w:val="20"/>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2"/>
        <w:jc w:val="both"/>
        <w:rPr>
          <w:rFonts w:cstheme="minorHAnsi"/>
          <w:color w:val="4F81BD" w:themeColor="accent1"/>
        </w:rPr>
      </w:pPr>
      <w:r w:rsidRPr="00663980">
        <w:rPr>
          <w:rFonts w:cstheme="minorHAnsi"/>
          <w:b/>
          <w:bCs/>
        </w:rPr>
        <w:t>The authorised limit</w:t>
      </w:r>
      <w:r w:rsidRPr="00663980">
        <w:rPr>
          <w:rFonts w:cstheme="minorHAnsi"/>
        </w:rPr>
        <w:t xml:space="preserve">. This is the “affordable borrowing limit” required by </w:t>
      </w:r>
      <w:r w:rsidR="00D8254A">
        <w:rPr>
          <w:rFonts w:cstheme="minorHAnsi"/>
        </w:rPr>
        <w:t xml:space="preserve">Section </w:t>
      </w:r>
      <w:r w:rsidRPr="00663980">
        <w:rPr>
          <w:rFonts w:cstheme="minorHAnsi"/>
        </w:rPr>
        <w:t xml:space="preserve">3 of the Local Government Act 2003. Once this has been set, the Council does not have the power to borrow above this level. The limit set for 2022/23 by Council on 23rd February 2022 was </w:t>
      </w:r>
      <w:r w:rsidRPr="00A93FC8">
        <w:rPr>
          <w:rFonts w:cstheme="minorHAnsi"/>
        </w:rPr>
        <w:t>£</w:t>
      </w:r>
      <w:r w:rsidR="00A93FC8" w:rsidRPr="00A93FC8">
        <w:rPr>
          <w:rFonts w:cstheme="minorHAnsi"/>
        </w:rPr>
        <w:t>6.600</w:t>
      </w:r>
      <w:r w:rsidRPr="00A93FC8">
        <w:rPr>
          <w:rFonts w:cstheme="minorHAnsi"/>
        </w:rPr>
        <w:t xml:space="preserve">m </w:t>
      </w:r>
      <w:r w:rsidRPr="00663980">
        <w:rPr>
          <w:rFonts w:cstheme="minorHAnsi"/>
        </w:rPr>
        <w:t xml:space="preserve">and actual debt is currently </w:t>
      </w:r>
      <w:r w:rsidR="00762EFC">
        <w:rPr>
          <w:rFonts w:cstheme="minorHAnsi"/>
        </w:rPr>
        <w:t>NIL.</w:t>
      </w:r>
      <w:r w:rsidRPr="00CB1A81">
        <w:rPr>
          <w:rFonts w:cstheme="minorHAnsi"/>
          <w:color w:val="4F81BD" w:themeColor="accent1"/>
        </w:rPr>
        <w:t xml:space="preserve"> </w:t>
      </w:r>
      <w:r w:rsidRPr="00663980">
        <w:rPr>
          <w:rFonts w:cstheme="minorHAnsi"/>
        </w:rPr>
        <w:t>The Council has therefore maintained borrowing within its authorised limit throughout the yea</w:t>
      </w:r>
      <w:r w:rsidRPr="00CB1A81">
        <w:rPr>
          <w:rFonts w:cstheme="minorHAnsi"/>
          <w:color w:val="4F81BD" w:themeColor="accent1"/>
        </w:rPr>
        <w:t>r.</w:t>
      </w:r>
    </w:p>
    <w:p w14:paraId="28179216" w14:textId="77777777" w:rsidR="00CB1A81" w:rsidRPr="00CB1A81" w:rsidRDefault="00CB1A81" w:rsidP="00CB1A81">
      <w:pPr>
        <w:pBdr>
          <w:top w:val="single" w:sz="2" w:space="1" w:color="FFFFFF"/>
          <w:left w:val="single" w:sz="2" w:space="0" w:color="FFFFFF"/>
          <w:bottom w:val="single" w:sz="2" w:space="2" w:color="FFFFFF"/>
          <w:right w:val="single" w:sz="2" w:space="4" w:color="FFFFFF"/>
        </w:pBdr>
        <w:tabs>
          <w:tab w:val="left" w:pos="567"/>
        </w:tabs>
        <w:spacing w:after="0" w:line="240" w:lineRule="auto"/>
        <w:ind w:right="142"/>
        <w:jc w:val="both"/>
        <w:rPr>
          <w:rFonts w:cstheme="minorHAnsi"/>
          <w:color w:val="4F81BD" w:themeColor="accent1"/>
        </w:rPr>
      </w:pPr>
    </w:p>
    <w:p w14:paraId="378FF960" w14:textId="2F176B8F" w:rsidR="000A5EC7" w:rsidRPr="00D93E9C" w:rsidRDefault="000A5EC7" w:rsidP="000A5EC7">
      <w:pPr>
        <w:pStyle w:val="ListParagraph"/>
        <w:numPr>
          <w:ilvl w:val="0"/>
          <w:numId w:val="20"/>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2"/>
        <w:jc w:val="both"/>
        <w:rPr>
          <w:rFonts w:cstheme="minorHAnsi"/>
        </w:rPr>
      </w:pPr>
      <w:r w:rsidRPr="00D93E9C">
        <w:rPr>
          <w:rFonts w:cstheme="minorHAnsi"/>
          <w:b/>
          <w:bCs/>
        </w:rPr>
        <w:t>The operational boundary</w:t>
      </w:r>
      <w:r w:rsidRPr="00D93E9C">
        <w:rPr>
          <w:rFonts w:cstheme="minorHAnsi"/>
        </w:rPr>
        <w:t xml:space="preserve">. This is the expected borrowing position of the Council during the year. The operational boundary set for 2022/23 was </w:t>
      </w:r>
      <w:r w:rsidRPr="00A93FC8">
        <w:rPr>
          <w:rFonts w:cstheme="minorHAnsi"/>
        </w:rPr>
        <w:t>£</w:t>
      </w:r>
      <w:r w:rsidR="00A93FC8" w:rsidRPr="00A93FC8">
        <w:rPr>
          <w:rFonts w:cstheme="minorHAnsi"/>
        </w:rPr>
        <w:t>3.600</w:t>
      </w:r>
      <w:r w:rsidRPr="00A93FC8">
        <w:rPr>
          <w:rFonts w:cstheme="minorHAnsi"/>
        </w:rPr>
        <w:t xml:space="preserve">m </w:t>
      </w:r>
      <w:r w:rsidRPr="00D93E9C">
        <w:rPr>
          <w:rFonts w:cstheme="minorHAnsi"/>
        </w:rPr>
        <w:t>and actual debt is currently</w:t>
      </w:r>
      <w:r w:rsidRPr="00813697">
        <w:rPr>
          <w:rFonts w:cstheme="minorHAnsi"/>
          <w:color w:val="4F81BD" w:themeColor="accent1"/>
        </w:rPr>
        <w:t xml:space="preserve"> </w:t>
      </w:r>
      <w:r w:rsidR="00762EFC" w:rsidRPr="00762EFC">
        <w:rPr>
          <w:rFonts w:cstheme="minorHAnsi"/>
        </w:rPr>
        <w:t>NIL</w:t>
      </w:r>
      <w:r w:rsidR="00762EFC">
        <w:rPr>
          <w:rFonts w:cstheme="minorHAnsi"/>
        </w:rPr>
        <w:t>. T</w:t>
      </w:r>
      <w:r w:rsidRPr="00D93E9C">
        <w:rPr>
          <w:rFonts w:cstheme="minorHAnsi"/>
        </w:rPr>
        <w:t>he Council remained within its operational boundary throughout the year.</w:t>
      </w:r>
    </w:p>
    <w:p w14:paraId="2E6D66D4" w14:textId="77777777" w:rsidR="000A5EC7" w:rsidRPr="00D93E9C" w:rsidRDefault="000A5EC7" w:rsidP="000A5EC7">
      <w:pPr>
        <w:pStyle w:val="Heading2"/>
        <w:rPr>
          <w:rFonts w:asciiTheme="minorHAnsi" w:hAnsiTheme="minorHAnsi" w:cstheme="minorHAnsi"/>
          <w:sz w:val="22"/>
          <w:szCs w:val="22"/>
        </w:rPr>
      </w:pPr>
      <w:r w:rsidRPr="00D93E9C">
        <w:rPr>
          <w:rFonts w:asciiTheme="minorHAnsi" w:hAnsiTheme="minorHAnsi" w:cstheme="minorHAnsi"/>
          <w:sz w:val="22"/>
          <w:szCs w:val="22"/>
        </w:rPr>
        <w:t>Investments</w:t>
      </w:r>
    </w:p>
    <w:p w14:paraId="6BE7A0C8" w14:textId="77777777" w:rsidR="000A5EC7" w:rsidRPr="00D93E9C" w:rsidRDefault="000A5EC7" w:rsidP="000A5EC7">
      <w:pPr>
        <w:pStyle w:val="ListParagraph"/>
        <w:numPr>
          <w:ilvl w:val="0"/>
          <w:numId w:val="20"/>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2"/>
        <w:jc w:val="both"/>
        <w:rPr>
          <w:rFonts w:cstheme="minorHAnsi"/>
        </w:rPr>
      </w:pPr>
      <w:r w:rsidRPr="00D93E9C">
        <w:rPr>
          <w:rFonts w:cstheme="minorHAnsi"/>
        </w:rPr>
        <w:t xml:space="preserve">The Council’s investment policy is governed by DLUHC investment guidance, which has been implemented in the annual investment strategy approved by Council for 2022/23. This policy sets out the approach for choosing investment counterparties and is based on credit ratings provided by the three main credit rating agencies, supplemented by additional market data. Link Asset Services, the Council’s treasury advisors, provide suggested investment durations for the approved counterparties. </w:t>
      </w:r>
    </w:p>
    <w:p w14:paraId="35222F5A" w14:textId="77777777" w:rsidR="00301A08" w:rsidRPr="00D93E9C" w:rsidRDefault="00301A08" w:rsidP="00301A08">
      <w:pPr>
        <w:pStyle w:val="ListParagraph"/>
        <w:pBdr>
          <w:top w:val="single" w:sz="2" w:space="1" w:color="FFFFFF"/>
          <w:left w:val="single" w:sz="2" w:space="0" w:color="FFFFFF"/>
          <w:bottom w:val="single" w:sz="2" w:space="2" w:color="FFFFFF"/>
          <w:right w:val="single" w:sz="2" w:space="4" w:color="FFFFFF"/>
        </w:pBdr>
        <w:spacing w:after="0" w:line="240" w:lineRule="auto"/>
        <w:ind w:left="567" w:right="142"/>
        <w:jc w:val="both"/>
        <w:rPr>
          <w:rFonts w:cstheme="minorHAnsi"/>
        </w:rPr>
      </w:pPr>
    </w:p>
    <w:p w14:paraId="706EF184" w14:textId="4CC4CE11" w:rsidR="000A5EC7" w:rsidRPr="00D8254A" w:rsidRDefault="000A5EC7" w:rsidP="000A5EC7">
      <w:pPr>
        <w:pStyle w:val="ListParagraph"/>
        <w:numPr>
          <w:ilvl w:val="0"/>
          <w:numId w:val="20"/>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2"/>
        <w:jc w:val="both"/>
        <w:rPr>
          <w:rFonts w:cstheme="minorHAnsi"/>
          <w:b/>
          <w:bCs/>
          <w:i/>
          <w:iCs/>
        </w:rPr>
      </w:pPr>
      <w:r w:rsidRPr="00D93E9C">
        <w:rPr>
          <w:rFonts w:cstheme="minorHAnsi"/>
        </w:rPr>
        <w:t xml:space="preserve">The approved Counterparties for 2022/23 are outlined at </w:t>
      </w:r>
      <w:r w:rsidRPr="00D8254A">
        <w:rPr>
          <w:rFonts w:cstheme="minorHAnsi"/>
          <w:b/>
          <w:bCs/>
          <w:i/>
          <w:iCs/>
        </w:rPr>
        <w:t>Appendix B</w:t>
      </w:r>
    </w:p>
    <w:p w14:paraId="6B3451EE" w14:textId="77777777" w:rsidR="000A5EC7" w:rsidRPr="00D93E9C" w:rsidRDefault="000A5EC7" w:rsidP="000A5EC7">
      <w:pPr>
        <w:pStyle w:val="ListParagraph"/>
        <w:pBdr>
          <w:top w:val="single" w:sz="2" w:space="1" w:color="FFFFFF"/>
          <w:left w:val="single" w:sz="2" w:space="0" w:color="FFFFFF"/>
          <w:bottom w:val="single" w:sz="2" w:space="2" w:color="FFFFFF"/>
          <w:right w:val="single" w:sz="2" w:space="4" w:color="FFFFFF"/>
        </w:pBdr>
        <w:ind w:left="567" w:right="142"/>
        <w:rPr>
          <w:rFonts w:cstheme="minorHAnsi"/>
        </w:rPr>
      </w:pPr>
    </w:p>
    <w:p w14:paraId="513816C3" w14:textId="24FDDC14" w:rsidR="000A5EC7" w:rsidRPr="00D93E9C" w:rsidRDefault="000A5EC7" w:rsidP="000A5EC7">
      <w:pPr>
        <w:pStyle w:val="ListParagraph"/>
        <w:numPr>
          <w:ilvl w:val="0"/>
          <w:numId w:val="20"/>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2"/>
        <w:jc w:val="both"/>
        <w:rPr>
          <w:rFonts w:cstheme="minorHAnsi"/>
        </w:rPr>
      </w:pPr>
      <w:r w:rsidRPr="00D93E9C">
        <w:rPr>
          <w:rFonts w:cstheme="minorHAnsi"/>
        </w:rPr>
        <w:t xml:space="preserve">To date, cash has not been invested in term deposits. To manage the Council’s cash flow, balances were held only in highly liquid accounts, specifically in call accounts and </w:t>
      </w:r>
      <w:r w:rsidR="00D8254A">
        <w:rPr>
          <w:rFonts w:cstheme="minorHAnsi"/>
        </w:rPr>
        <w:t>Money Market Funds (</w:t>
      </w:r>
      <w:r w:rsidRPr="00D93E9C">
        <w:rPr>
          <w:rFonts w:cstheme="minorHAnsi"/>
        </w:rPr>
        <w:t>MMFs</w:t>
      </w:r>
      <w:r w:rsidR="00D8254A">
        <w:rPr>
          <w:rFonts w:cstheme="minorHAnsi"/>
        </w:rPr>
        <w:t>)</w:t>
      </w:r>
      <w:r w:rsidRPr="00D93E9C">
        <w:rPr>
          <w:rFonts w:cstheme="minorHAnsi"/>
        </w:rPr>
        <w:t>, with the need for money to be available at short notice.</w:t>
      </w:r>
    </w:p>
    <w:p w14:paraId="6FCE280E" w14:textId="77777777" w:rsidR="000A5EC7" w:rsidRPr="00D93E9C" w:rsidRDefault="000A5EC7" w:rsidP="000A5EC7">
      <w:pPr>
        <w:pStyle w:val="ListParagraph"/>
        <w:rPr>
          <w:rFonts w:cstheme="minorHAnsi"/>
        </w:rPr>
      </w:pPr>
    </w:p>
    <w:p w14:paraId="52E38C88" w14:textId="1AE5F645" w:rsidR="000A5EC7" w:rsidRPr="00813697" w:rsidRDefault="000A5EC7" w:rsidP="000A5EC7">
      <w:pPr>
        <w:pStyle w:val="ListParagraph"/>
        <w:numPr>
          <w:ilvl w:val="0"/>
          <w:numId w:val="20"/>
        </w:numPr>
        <w:tabs>
          <w:tab w:val="left" w:pos="567"/>
        </w:tabs>
        <w:jc w:val="both"/>
        <w:rPr>
          <w:rFonts w:cstheme="minorHAnsi"/>
          <w:iCs/>
          <w:color w:val="4F81BD" w:themeColor="accent1"/>
        </w:rPr>
      </w:pPr>
      <w:r w:rsidRPr="00D93E9C">
        <w:rPr>
          <w:rFonts w:cstheme="minorHAnsi"/>
        </w:rPr>
        <w:t xml:space="preserve">Investment returns dropped to historically low levels from late March 2020 onwards and remained there throughout 2021/22. Yields are now increasing with a return to date of </w:t>
      </w:r>
      <w:r w:rsidRPr="00DB00BA">
        <w:rPr>
          <w:rFonts w:cstheme="minorHAnsi"/>
          <w:color w:val="000000" w:themeColor="text1"/>
        </w:rPr>
        <w:t>0.</w:t>
      </w:r>
      <w:r w:rsidR="00DB00BA" w:rsidRPr="00DB00BA">
        <w:rPr>
          <w:rFonts w:cstheme="minorHAnsi"/>
          <w:color w:val="000000" w:themeColor="text1"/>
        </w:rPr>
        <w:t>79</w:t>
      </w:r>
      <w:r w:rsidRPr="00DB00BA">
        <w:rPr>
          <w:rFonts w:cstheme="minorHAnsi"/>
          <w:color w:val="000000" w:themeColor="text1"/>
        </w:rPr>
        <w:t xml:space="preserve">% </w:t>
      </w:r>
      <w:r w:rsidRPr="00D93E9C">
        <w:rPr>
          <w:rFonts w:cstheme="minorHAnsi"/>
        </w:rPr>
        <w:t xml:space="preserve">(compared to </w:t>
      </w:r>
      <w:r w:rsidRPr="00CF4687">
        <w:rPr>
          <w:rFonts w:cstheme="minorHAnsi"/>
          <w:color w:val="000000" w:themeColor="text1"/>
        </w:rPr>
        <w:t>just 0.</w:t>
      </w:r>
      <w:r w:rsidR="00CF4687" w:rsidRPr="00CF4687">
        <w:rPr>
          <w:rFonts w:cstheme="minorHAnsi"/>
          <w:color w:val="000000" w:themeColor="text1"/>
        </w:rPr>
        <w:t>15</w:t>
      </w:r>
      <w:r w:rsidRPr="00CF4687">
        <w:rPr>
          <w:rFonts w:cstheme="minorHAnsi"/>
          <w:color w:val="000000" w:themeColor="text1"/>
        </w:rPr>
        <w:t xml:space="preserve">% </w:t>
      </w:r>
      <w:r w:rsidRPr="00D93E9C">
        <w:rPr>
          <w:rFonts w:cstheme="minorHAnsi"/>
        </w:rPr>
        <w:t>in 2021/22).</w:t>
      </w:r>
    </w:p>
    <w:p w14:paraId="7E932986" w14:textId="77777777" w:rsidR="000A5EC7" w:rsidRPr="00813697" w:rsidRDefault="000A5EC7" w:rsidP="000A5EC7">
      <w:pPr>
        <w:pStyle w:val="ListParagraph"/>
        <w:tabs>
          <w:tab w:val="left" w:pos="567"/>
        </w:tabs>
        <w:ind w:left="567"/>
        <w:rPr>
          <w:rFonts w:cstheme="minorHAnsi"/>
          <w:iCs/>
          <w:color w:val="4F81BD" w:themeColor="accent1"/>
        </w:rPr>
      </w:pPr>
    </w:p>
    <w:p w14:paraId="6EACFE00" w14:textId="77777777" w:rsidR="000A5EC7" w:rsidRPr="00386C64" w:rsidRDefault="000A5EC7" w:rsidP="000A5EC7">
      <w:pPr>
        <w:pStyle w:val="ListParagraph"/>
        <w:numPr>
          <w:ilvl w:val="0"/>
          <w:numId w:val="20"/>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2"/>
        <w:jc w:val="both"/>
        <w:rPr>
          <w:rFonts w:cstheme="minorHAnsi"/>
        </w:rPr>
      </w:pPr>
      <w:r w:rsidRPr="00386C64">
        <w:rPr>
          <w:rFonts w:cstheme="minorHAnsi"/>
        </w:rPr>
        <w:t>Given the low returns available compared to borrowing rates, the Council has continued to achieve budget savings by maintaining a position of under borrowing, which means that it has used its own cash balances to finance capital expenditure rather than taking additional external loans.</w:t>
      </w:r>
    </w:p>
    <w:p w14:paraId="6284B87E" w14:textId="77777777" w:rsidR="00301A08" w:rsidRPr="00386C64" w:rsidRDefault="00301A08" w:rsidP="00301A08">
      <w:pPr>
        <w:pStyle w:val="ListParagraph"/>
        <w:pBdr>
          <w:top w:val="single" w:sz="2" w:space="1" w:color="FFFFFF"/>
          <w:left w:val="single" w:sz="2" w:space="0" w:color="FFFFFF"/>
          <w:bottom w:val="single" w:sz="2" w:space="2" w:color="FFFFFF"/>
          <w:right w:val="single" w:sz="2" w:space="4" w:color="FFFFFF"/>
        </w:pBdr>
        <w:spacing w:after="0" w:line="240" w:lineRule="auto"/>
        <w:ind w:left="567" w:right="142"/>
        <w:jc w:val="both"/>
        <w:rPr>
          <w:rFonts w:cstheme="minorHAnsi"/>
        </w:rPr>
      </w:pPr>
    </w:p>
    <w:p w14:paraId="7AE5191E" w14:textId="1ACCD6E3" w:rsidR="000A5EC7" w:rsidRDefault="000A5EC7" w:rsidP="000A5EC7">
      <w:pPr>
        <w:pStyle w:val="ListParagraph"/>
        <w:numPr>
          <w:ilvl w:val="0"/>
          <w:numId w:val="20"/>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2"/>
        <w:jc w:val="both"/>
        <w:rPr>
          <w:rFonts w:cstheme="minorHAnsi"/>
        </w:rPr>
      </w:pPr>
      <w:r w:rsidRPr="00386C64">
        <w:rPr>
          <w:rFonts w:cstheme="minorHAnsi"/>
        </w:rPr>
        <w:t xml:space="preserve">Average Investment performance for the year to date is summarised </w:t>
      </w:r>
      <w:r w:rsidR="00896225">
        <w:rPr>
          <w:rFonts w:cstheme="minorHAnsi"/>
        </w:rPr>
        <w:t>overleaf</w:t>
      </w:r>
      <w:r w:rsidRPr="00386C64">
        <w:rPr>
          <w:rFonts w:cstheme="minorHAnsi"/>
        </w:rPr>
        <w:t>;</w:t>
      </w:r>
    </w:p>
    <w:p w14:paraId="63BEBE90" w14:textId="77777777" w:rsidR="00896225" w:rsidRPr="00896225" w:rsidRDefault="00896225" w:rsidP="00896225">
      <w:pPr>
        <w:pStyle w:val="ListParagraph"/>
        <w:rPr>
          <w:rFonts w:cstheme="minorHAnsi"/>
        </w:rPr>
      </w:pPr>
    </w:p>
    <w:tbl>
      <w:tblPr>
        <w:tblW w:w="8058" w:type="dxa"/>
        <w:tblInd w:w="562" w:type="dxa"/>
        <w:tblLook w:val="04A0" w:firstRow="1" w:lastRow="0" w:firstColumn="1" w:lastColumn="0" w:noHBand="0" w:noVBand="1"/>
      </w:tblPr>
      <w:tblGrid>
        <w:gridCol w:w="4167"/>
        <w:gridCol w:w="1477"/>
        <w:gridCol w:w="1237"/>
        <w:gridCol w:w="1177"/>
      </w:tblGrid>
      <w:tr w:rsidR="00896225" w:rsidRPr="00896225" w14:paraId="4256BCC3" w14:textId="77777777" w:rsidTr="00896225">
        <w:trPr>
          <w:trHeight w:val="900"/>
        </w:trPr>
        <w:tc>
          <w:tcPr>
            <w:tcW w:w="4167" w:type="dxa"/>
            <w:tcBorders>
              <w:top w:val="single" w:sz="4" w:space="0" w:color="auto"/>
              <w:left w:val="single" w:sz="4" w:space="0" w:color="auto"/>
              <w:bottom w:val="nil"/>
              <w:right w:val="nil"/>
            </w:tcBorders>
            <w:shd w:val="clear" w:color="000000" w:fill="DDD9C4"/>
            <w:noWrap/>
            <w:hideMark/>
          </w:tcPr>
          <w:p w14:paraId="67E459BE" w14:textId="77777777" w:rsidR="00896225" w:rsidRPr="00896225" w:rsidRDefault="00896225" w:rsidP="00896225">
            <w:pPr>
              <w:spacing w:after="0" w:line="240" w:lineRule="auto"/>
              <w:rPr>
                <w:rFonts w:ascii="Arial" w:eastAsia="Times New Roman" w:hAnsi="Arial" w:cs="Arial"/>
                <w:b/>
                <w:bCs/>
                <w:color w:val="000000"/>
                <w:lang w:eastAsia="en-GB"/>
              </w:rPr>
            </w:pPr>
            <w:r w:rsidRPr="00896225">
              <w:rPr>
                <w:rFonts w:ascii="Arial" w:eastAsia="Times New Roman" w:hAnsi="Arial" w:cs="Arial"/>
                <w:b/>
                <w:bCs/>
                <w:color w:val="000000"/>
                <w:lang w:eastAsia="en-GB"/>
              </w:rPr>
              <w:lastRenderedPageBreak/>
              <w:t>Table 4 - Average Investment Yield</w:t>
            </w:r>
          </w:p>
        </w:tc>
        <w:tc>
          <w:tcPr>
            <w:tcW w:w="1477" w:type="dxa"/>
            <w:tcBorders>
              <w:top w:val="single" w:sz="4" w:space="0" w:color="auto"/>
              <w:left w:val="nil"/>
              <w:bottom w:val="nil"/>
              <w:right w:val="nil"/>
            </w:tcBorders>
            <w:shd w:val="clear" w:color="auto" w:fill="auto"/>
            <w:hideMark/>
          </w:tcPr>
          <w:p w14:paraId="3E53AE75" w14:textId="77777777" w:rsidR="00896225" w:rsidRPr="00896225" w:rsidRDefault="00896225" w:rsidP="00896225">
            <w:pPr>
              <w:spacing w:after="0" w:line="240" w:lineRule="auto"/>
              <w:jc w:val="center"/>
              <w:rPr>
                <w:rFonts w:ascii="Arial" w:eastAsia="Times New Roman" w:hAnsi="Arial" w:cs="Arial"/>
                <w:b/>
                <w:bCs/>
                <w:color w:val="000000"/>
                <w:lang w:eastAsia="en-GB"/>
              </w:rPr>
            </w:pPr>
            <w:r w:rsidRPr="00896225">
              <w:rPr>
                <w:rFonts w:ascii="Arial" w:eastAsia="Times New Roman" w:hAnsi="Arial" w:cs="Arial"/>
                <w:b/>
                <w:bCs/>
                <w:color w:val="000000"/>
                <w:lang w:eastAsia="en-GB"/>
              </w:rPr>
              <w:t>Average Daily Investment</w:t>
            </w:r>
          </w:p>
        </w:tc>
        <w:tc>
          <w:tcPr>
            <w:tcW w:w="1237" w:type="dxa"/>
            <w:tcBorders>
              <w:top w:val="single" w:sz="4" w:space="0" w:color="auto"/>
              <w:left w:val="nil"/>
              <w:bottom w:val="nil"/>
              <w:right w:val="nil"/>
            </w:tcBorders>
            <w:shd w:val="clear" w:color="auto" w:fill="auto"/>
            <w:hideMark/>
          </w:tcPr>
          <w:p w14:paraId="2B588F94" w14:textId="77777777" w:rsidR="00896225" w:rsidRPr="00896225" w:rsidRDefault="00896225" w:rsidP="00896225">
            <w:pPr>
              <w:spacing w:after="0" w:line="240" w:lineRule="auto"/>
              <w:jc w:val="center"/>
              <w:rPr>
                <w:rFonts w:ascii="Arial" w:eastAsia="Times New Roman" w:hAnsi="Arial" w:cs="Arial"/>
                <w:b/>
                <w:bCs/>
                <w:color w:val="000000"/>
                <w:lang w:eastAsia="en-GB"/>
              </w:rPr>
            </w:pPr>
            <w:r w:rsidRPr="00896225">
              <w:rPr>
                <w:rFonts w:ascii="Arial" w:eastAsia="Times New Roman" w:hAnsi="Arial" w:cs="Arial"/>
                <w:b/>
                <w:bCs/>
                <w:color w:val="000000"/>
                <w:lang w:eastAsia="en-GB"/>
              </w:rPr>
              <w:t>Earnings to 30/09/22</w:t>
            </w:r>
          </w:p>
        </w:tc>
        <w:tc>
          <w:tcPr>
            <w:tcW w:w="1177" w:type="dxa"/>
            <w:tcBorders>
              <w:top w:val="single" w:sz="4" w:space="0" w:color="auto"/>
              <w:left w:val="nil"/>
              <w:bottom w:val="nil"/>
              <w:right w:val="single" w:sz="4" w:space="0" w:color="auto"/>
            </w:tcBorders>
            <w:shd w:val="clear" w:color="auto" w:fill="auto"/>
            <w:hideMark/>
          </w:tcPr>
          <w:p w14:paraId="7F88E8C5" w14:textId="77777777" w:rsidR="00896225" w:rsidRPr="00896225" w:rsidRDefault="00896225" w:rsidP="00896225">
            <w:pPr>
              <w:spacing w:after="0" w:line="240" w:lineRule="auto"/>
              <w:jc w:val="center"/>
              <w:rPr>
                <w:rFonts w:ascii="Arial" w:eastAsia="Times New Roman" w:hAnsi="Arial" w:cs="Arial"/>
                <w:b/>
                <w:bCs/>
                <w:color w:val="000000"/>
                <w:lang w:eastAsia="en-GB"/>
              </w:rPr>
            </w:pPr>
            <w:r w:rsidRPr="00896225">
              <w:rPr>
                <w:rFonts w:ascii="Arial" w:eastAsia="Times New Roman" w:hAnsi="Arial" w:cs="Arial"/>
                <w:b/>
                <w:bCs/>
                <w:color w:val="000000"/>
                <w:lang w:eastAsia="en-GB"/>
              </w:rPr>
              <w:t>Average Rate</w:t>
            </w:r>
          </w:p>
        </w:tc>
      </w:tr>
      <w:tr w:rsidR="00896225" w:rsidRPr="00896225" w14:paraId="350DCC9F" w14:textId="77777777" w:rsidTr="00896225">
        <w:trPr>
          <w:trHeight w:val="300"/>
        </w:trPr>
        <w:tc>
          <w:tcPr>
            <w:tcW w:w="4167" w:type="dxa"/>
            <w:tcBorders>
              <w:top w:val="nil"/>
              <w:left w:val="single" w:sz="4" w:space="0" w:color="auto"/>
              <w:bottom w:val="nil"/>
              <w:right w:val="nil"/>
            </w:tcBorders>
            <w:shd w:val="clear" w:color="auto" w:fill="auto"/>
            <w:noWrap/>
            <w:vAlign w:val="bottom"/>
            <w:hideMark/>
          </w:tcPr>
          <w:p w14:paraId="14944D99" w14:textId="77777777" w:rsidR="00896225" w:rsidRPr="00896225" w:rsidRDefault="00896225" w:rsidP="00896225">
            <w:pPr>
              <w:spacing w:after="0" w:line="240" w:lineRule="auto"/>
              <w:rPr>
                <w:rFonts w:ascii="Arial" w:eastAsia="Times New Roman" w:hAnsi="Arial" w:cs="Arial"/>
                <w:color w:val="000000"/>
                <w:lang w:eastAsia="en-GB"/>
              </w:rPr>
            </w:pPr>
            <w:r w:rsidRPr="00896225">
              <w:rPr>
                <w:rFonts w:ascii="Arial" w:eastAsia="Times New Roman" w:hAnsi="Arial" w:cs="Arial"/>
                <w:color w:val="000000"/>
                <w:lang w:eastAsia="en-GB"/>
              </w:rPr>
              <w:t> </w:t>
            </w:r>
          </w:p>
        </w:tc>
        <w:tc>
          <w:tcPr>
            <w:tcW w:w="1477" w:type="dxa"/>
            <w:tcBorders>
              <w:top w:val="nil"/>
              <w:left w:val="nil"/>
              <w:bottom w:val="nil"/>
              <w:right w:val="nil"/>
            </w:tcBorders>
            <w:shd w:val="clear" w:color="auto" w:fill="auto"/>
            <w:vAlign w:val="bottom"/>
            <w:hideMark/>
          </w:tcPr>
          <w:p w14:paraId="1871A85F" w14:textId="77777777" w:rsidR="00896225" w:rsidRPr="00896225" w:rsidRDefault="00896225" w:rsidP="00896225">
            <w:pPr>
              <w:spacing w:after="0" w:line="240" w:lineRule="auto"/>
              <w:jc w:val="center"/>
              <w:rPr>
                <w:rFonts w:ascii="Arial" w:eastAsia="Times New Roman" w:hAnsi="Arial" w:cs="Arial"/>
                <w:b/>
                <w:bCs/>
                <w:color w:val="000000"/>
                <w:lang w:eastAsia="en-GB"/>
              </w:rPr>
            </w:pPr>
            <w:r w:rsidRPr="00896225">
              <w:rPr>
                <w:rFonts w:ascii="Arial" w:eastAsia="Times New Roman" w:hAnsi="Arial" w:cs="Arial"/>
                <w:b/>
                <w:bCs/>
                <w:color w:val="000000"/>
                <w:lang w:eastAsia="en-GB"/>
              </w:rPr>
              <w:t>£'000</w:t>
            </w:r>
          </w:p>
        </w:tc>
        <w:tc>
          <w:tcPr>
            <w:tcW w:w="1237" w:type="dxa"/>
            <w:tcBorders>
              <w:top w:val="nil"/>
              <w:left w:val="nil"/>
              <w:bottom w:val="nil"/>
              <w:right w:val="nil"/>
            </w:tcBorders>
            <w:shd w:val="clear" w:color="auto" w:fill="auto"/>
            <w:vAlign w:val="bottom"/>
            <w:hideMark/>
          </w:tcPr>
          <w:p w14:paraId="5B550A6B" w14:textId="77777777" w:rsidR="00896225" w:rsidRPr="00896225" w:rsidRDefault="00896225" w:rsidP="00896225">
            <w:pPr>
              <w:spacing w:after="0" w:line="240" w:lineRule="auto"/>
              <w:jc w:val="center"/>
              <w:rPr>
                <w:rFonts w:ascii="Arial" w:eastAsia="Times New Roman" w:hAnsi="Arial" w:cs="Arial"/>
                <w:b/>
                <w:bCs/>
                <w:color w:val="000000"/>
                <w:lang w:eastAsia="en-GB"/>
              </w:rPr>
            </w:pPr>
            <w:r w:rsidRPr="00896225">
              <w:rPr>
                <w:rFonts w:ascii="Arial" w:eastAsia="Times New Roman" w:hAnsi="Arial" w:cs="Arial"/>
                <w:b/>
                <w:bCs/>
                <w:color w:val="000000"/>
                <w:lang w:eastAsia="en-GB"/>
              </w:rPr>
              <w:t>£</w:t>
            </w:r>
          </w:p>
        </w:tc>
        <w:tc>
          <w:tcPr>
            <w:tcW w:w="1177" w:type="dxa"/>
            <w:tcBorders>
              <w:top w:val="nil"/>
              <w:left w:val="nil"/>
              <w:bottom w:val="nil"/>
              <w:right w:val="single" w:sz="4" w:space="0" w:color="auto"/>
            </w:tcBorders>
            <w:shd w:val="clear" w:color="auto" w:fill="auto"/>
            <w:vAlign w:val="bottom"/>
            <w:hideMark/>
          </w:tcPr>
          <w:p w14:paraId="687D96C4" w14:textId="77777777" w:rsidR="00896225" w:rsidRPr="00896225" w:rsidRDefault="00896225" w:rsidP="00896225">
            <w:pPr>
              <w:spacing w:after="0" w:line="240" w:lineRule="auto"/>
              <w:jc w:val="center"/>
              <w:rPr>
                <w:rFonts w:ascii="Arial" w:eastAsia="Times New Roman" w:hAnsi="Arial" w:cs="Arial"/>
                <w:b/>
                <w:bCs/>
                <w:color w:val="000000"/>
                <w:lang w:eastAsia="en-GB"/>
              </w:rPr>
            </w:pPr>
            <w:r w:rsidRPr="00896225">
              <w:rPr>
                <w:rFonts w:ascii="Arial" w:eastAsia="Times New Roman" w:hAnsi="Arial" w:cs="Arial"/>
                <w:b/>
                <w:bCs/>
                <w:color w:val="000000"/>
                <w:lang w:eastAsia="en-GB"/>
              </w:rPr>
              <w:t>%</w:t>
            </w:r>
          </w:p>
        </w:tc>
      </w:tr>
      <w:tr w:rsidR="00896225" w:rsidRPr="00896225" w14:paraId="23490D02" w14:textId="77777777" w:rsidTr="00896225">
        <w:trPr>
          <w:trHeight w:val="285"/>
        </w:trPr>
        <w:tc>
          <w:tcPr>
            <w:tcW w:w="4167" w:type="dxa"/>
            <w:tcBorders>
              <w:top w:val="nil"/>
              <w:left w:val="single" w:sz="4" w:space="0" w:color="auto"/>
              <w:bottom w:val="nil"/>
              <w:right w:val="nil"/>
            </w:tcBorders>
            <w:shd w:val="clear" w:color="auto" w:fill="auto"/>
            <w:noWrap/>
            <w:vAlign w:val="bottom"/>
            <w:hideMark/>
          </w:tcPr>
          <w:p w14:paraId="6D6FCD6B" w14:textId="77777777" w:rsidR="00896225" w:rsidRPr="00896225" w:rsidRDefault="00896225" w:rsidP="00896225">
            <w:pPr>
              <w:spacing w:after="0" w:line="240" w:lineRule="auto"/>
              <w:rPr>
                <w:rFonts w:ascii="Arial" w:eastAsia="Times New Roman" w:hAnsi="Arial" w:cs="Arial"/>
                <w:lang w:eastAsia="en-GB"/>
              </w:rPr>
            </w:pPr>
            <w:r w:rsidRPr="00896225">
              <w:rPr>
                <w:rFonts w:ascii="Arial" w:eastAsia="Times New Roman" w:hAnsi="Arial" w:cs="Arial"/>
                <w:lang w:eastAsia="en-GB"/>
              </w:rPr>
              <w:t> </w:t>
            </w:r>
          </w:p>
        </w:tc>
        <w:tc>
          <w:tcPr>
            <w:tcW w:w="1477" w:type="dxa"/>
            <w:tcBorders>
              <w:top w:val="nil"/>
              <w:left w:val="nil"/>
              <w:bottom w:val="nil"/>
              <w:right w:val="nil"/>
            </w:tcBorders>
            <w:shd w:val="clear" w:color="auto" w:fill="auto"/>
            <w:noWrap/>
            <w:vAlign w:val="bottom"/>
            <w:hideMark/>
          </w:tcPr>
          <w:p w14:paraId="75288405" w14:textId="77777777" w:rsidR="00896225" w:rsidRPr="00896225" w:rsidRDefault="00896225" w:rsidP="00896225">
            <w:pPr>
              <w:spacing w:after="0" w:line="240" w:lineRule="auto"/>
              <w:rPr>
                <w:rFonts w:ascii="Arial" w:eastAsia="Times New Roman" w:hAnsi="Arial" w:cs="Arial"/>
                <w:lang w:eastAsia="en-GB"/>
              </w:rPr>
            </w:pPr>
          </w:p>
        </w:tc>
        <w:tc>
          <w:tcPr>
            <w:tcW w:w="1237" w:type="dxa"/>
            <w:tcBorders>
              <w:top w:val="nil"/>
              <w:left w:val="nil"/>
              <w:bottom w:val="nil"/>
              <w:right w:val="nil"/>
            </w:tcBorders>
            <w:shd w:val="clear" w:color="auto" w:fill="auto"/>
            <w:noWrap/>
            <w:vAlign w:val="bottom"/>
            <w:hideMark/>
          </w:tcPr>
          <w:p w14:paraId="2E5DA14A" w14:textId="77777777" w:rsidR="00896225" w:rsidRPr="00896225" w:rsidRDefault="00896225" w:rsidP="00896225">
            <w:pPr>
              <w:spacing w:after="0" w:line="240" w:lineRule="auto"/>
              <w:rPr>
                <w:rFonts w:ascii="Times New Roman" w:eastAsia="Times New Roman" w:hAnsi="Times New Roman" w:cs="Times New Roman"/>
                <w:sz w:val="20"/>
                <w:szCs w:val="20"/>
                <w:lang w:eastAsia="en-GB"/>
              </w:rPr>
            </w:pPr>
          </w:p>
        </w:tc>
        <w:tc>
          <w:tcPr>
            <w:tcW w:w="1177" w:type="dxa"/>
            <w:tcBorders>
              <w:top w:val="nil"/>
              <w:left w:val="nil"/>
              <w:bottom w:val="nil"/>
              <w:right w:val="single" w:sz="4" w:space="0" w:color="auto"/>
            </w:tcBorders>
            <w:shd w:val="clear" w:color="auto" w:fill="auto"/>
            <w:noWrap/>
            <w:vAlign w:val="bottom"/>
            <w:hideMark/>
          </w:tcPr>
          <w:p w14:paraId="590155E5" w14:textId="77777777" w:rsidR="00896225" w:rsidRPr="00896225" w:rsidRDefault="00896225" w:rsidP="00896225">
            <w:pPr>
              <w:spacing w:after="0" w:line="240" w:lineRule="auto"/>
              <w:rPr>
                <w:rFonts w:ascii="Arial" w:eastAsia="Times New Roman" w:hAnsi="Arial" w:cs="Arial"/>
                <w:lang w:eastAsia="en-GB"/>
              </w:rPr>
            </w:pPr>
            <w:r w:rsidRPr="00896225">
              <w:rPr>
                <w:rFonts w:ascii="Arial" w:eastAsia="Times New Roman" w:hAnsi="Arial" w:cs="Arial"/>
                <w:lang w:eastAsia="en-GB"/>
              </w:rPr>
              <w:t> </w:t>
            </w:r>
          </w:p>
        </w:tc>
      </w:tr>
      <w:tr w:rsidR="00896225" w:rsidRPr="00896225" w14:paraId="0F735E33" w14:textId="77777777" w:rsidTr="00896225">
        <w:trPr>
          <w:trHeight w:val="285"/>
        </w:trPr>
        <w:tc>
          <w:tcPr>
            <w:tcW w:w="4167" w:type="dxa"/>
            <w:tcBorders>
              <w:top w:val="nil"/>
              <w:left w:val="single" w:sz="4" w:space="0" w:color="auto"/>
              <w:bottom w:val="nil"/>
              <w:right w:val="nil"/>
            </w:tcBorders>
            <w:shd w:val="clear" w:color="auto" w:fill="auto"/>
            <w:noWrap/>
            <w:vAlign w:val="bottom"/>
            <w:hideMark/>
          </w:tcPr>
          <w:p w14:paraId="4484BEE6" w14:textId="77777777" w:rsidR="00896225" w:rsidRPr="00896225" w:rsidRDefault="00896225" w:rsidP="00896225">
            <w:pPr>
              <w:spacing w:after="0" w:line="240" w:lineRule="auto"/>
              <w:rPr>
                <w:rFonts w:ascii="Arial" w:eastAsia="Times New Roman" w:hAnsi="Arial" w:cs="Arial"/>
                <w:color w:val="000000"/>
                <w:lang w:eastAsia="en-GB"/>
              </w:rPr>
            </w:pPr>
            <w:r w:rsidRPr="00896225">
              <w:rPr>
                <w:rFonts w:ascii="Arial" w:eastAsia="Times New Roman" w:hAnsi="Arial" w:cs="Arial"/>
                <w:color w:val="000000"/>
                <w:lang w:eastAsia="en-GB"/>
              </w:rPr>
              <w:t>Debt Management Office</w:t>
            </w:r>
          </w:p>
        </w:tc>
        <w:tc>
          <w:tcPr>
            <w:tcW w:w="1477" w:type="dxa"/>
            <w:tcBorders>
              <w:top w:val="nil"/>
              <w:left w:val="nil"/>
              <w:bottom w:val="nil"/>
              <w:right w:val="nil"/>
            </w:tcBorders>
            <w:shd w:val="clear" w:color="auto" w:fill="auto"/>
            <w:noWrap/>
            <w:vAlign w:val="bottom"/>
            <w:hideMark/>
          </w:tcPr>
          <w:p w14:paraId="339C47BC" w14:textId="77777777" w:rsidR="00896225" w:rsidRPr="00896225" w:rsidRDefault="00896225" w:rsidP="00896225">
            <w:pPr>
              <w:spacing w:after="0" w:line="240" w:lineRule="auto"/>
              <w:jc w:val="right"/>
              <w:rPr>
                <w:rFonts w:ascii="Arial" w:eastAsia="Times New Roman" w:hAnsi="Arial" w:cs="Arial"/>
                <w:color w:val="000000"/>
                <w:lang w:eastAsia="en-GB"/>
              </w:rPr>
            </w:pPr>
            <w:r w:rsidRPr="00896225">
              <w:rPr>
                <w:rFonts w:ascii="Arial" w:eastAsia="Times New Roman" w:hAnsi="Arial" w:cs="Arial"/>
                <w:color w:val="000000"/>
                <w:lang w:eastAsia="en-GB"/>
              </w:rPr>
              <w:t>3,645</w:t>
            </w:r>
          </w:p>
        </w:tc>
        <w:tc>
          <w:tcPr>
            <w:tcW w:w="1237" w:type="dxa"/>
            <w:tcBorders>
              <w:top w:val="nil"/>
              <w:left w:val="nil"/>
              <w:bottom w:val="nil"/>
              <w:right w:val="nil"/>
            </w:tcBorders>
            <w:shd w:val="clear" w:color="auto" w:fill="auto"/>
            <w:noWrap/>
            <w:vAlign w:val="bottom"/>
            <w:hideMark/>
          </w:tcPr>
          <w:p w14:paraId="0D78CA65" w14:textId="77777777" w:rsidR="00896225" w:rsidRPr="00896225" w:rsidRDefault="00896225" w:rsidP="00896225">
            <w:pPr>
              <w:spacing w:after="0" w:line="240" w:lineRule="auto"/>
              <w:jc w:val="right"/>
              <w:rPr>
                <w:rFonts w:ascii="Arial" w:eastAsia="Times New Roman" w:hAnsi="Arial" w:cs="Arial"/>
                <w:color w:val="000000"/>
                <w:lang w:eastAsia="en-GB"/>
              </w:rPr>
            </w:pPr>
            <w:r w:rsidRPr="00896225">
              <w:rPr>
                <w:rFonts w:ascii="Arial" w:eastAsia="Times New Roman" w:hAnsi="Arial" w:cs="Arial"/>
                <w:color w:val="000000"/>
                <w:lang w:eastAsia="en-GB"/>
              </w:rPr>
              <w:t>18,998</w:t>
            </w:r>
          </w:p>
        </w:tc>
        <w:tc>
          <w:tcPr>
            <w:tcW w:w="1177" w:type="dxa"/>
            <w:tcBorders>
              <w:top w:val="nil"/>
              <w:left w:val="nil"/>
              <w:bottom w:val="nil"/>
              <w:right w:val="single" w:sz="4" w:space="0" w:color="auto"/>
            </w:tcBorders>
            <w:shd w:val="clear" w:color="auto" w:fill="auto"/>
            <w:noWrap/>
            <w:vAlign w:val="bottom"/>
            <w:hideMark/>
          </w:tcPr>
          <w:p w14:paraId="6DF94906" w14:textId="77777777" w:rsidR="00896225" w:rsidRPr="00896225" w:rsidRDefault="00896225" w:rsidP="00896225">
            <w:pPr>
              <w:spacing w:after="0" w:line="240" w:lineRule="auto"/>
              <w:jc w:val="right"/>
              <w:rPr>
                <w:rFonts w:ascii="Arial" w:eastAsia="Times New Roman" w:hAnsi="Arial" w:cs="Arial"/>
                <w:color w:val="000000"/>
                <w:lang w:eastAsia="en-GB"/>
              </w:rPr>
            </w:pPr>
            <w:r w:rsidRPr="00896225">
              <w:rPr>
                <w:rFonts w:ascii="Arial" w:eastAsia="Times New Roman" w:hAnsi="Arial" w:cs="Arial"/>
                <w:color w:val="000000"/>
                <w:lang w:eastAsia="en-GB"/>
              </w:rPr>
              <w:t>1.04</w:t>
            </w:r>
          </w:p>
        </w:tc>
      </w:tr>
      <w:tr w:rsidR="00896225" w:rsidRPr="00896225" w14:paraId="0D012E92" w14:textId="77777777" w:rsidTr="00896225">
        <w:trPr>
          <w:trHeight w:val="285"/>
        </w:trPr>
        <w:tc>
          <w:tcPr>
            <w:tcW w:w="4167" w:type="dxa"/>
            <w:tcBorders>
              <w:top w:val="nil"/>
              <w:left w:val="single" w:sz="4" w:space="0" w:color="auto"/>
              <w:bottom w:val="nil"/>
              <w:right w:val="nil"/>
            </w:tcBorders>
            <w:shd w:val="clear" w:color="auto" w:fill="auto"/>
            <w:noWrap/>
            <w:vAlign w:val="bottom"/>
            <w:hideMark/>
          </w:tcPr>
          <w:p w14:paraId="57F1771C" w14:textId="77777777" w:rsidR="00896225" w:rsidRPr="00896225" w:rsidRDefault="00896225" w:rsidP="00896225">
            <w:pPr>
              <w:spacing w:after="0" w:line="240" w:lineRule="auto"/>
              <w:rPr>
                <w:rFonts w:ascii="Arial" w:eastAsia="Times New Roman" w:hAnsi="Arial" w:cs="Arial"/>
                <w:color w:val="000000"/>
                <w:lang w:eastAsia="en-GB"/>
              </w:rPr>
            </w:pPr>
            <w:r w:rsidRPr="00896225">
              <w:rPr>
                <w:rFonts w:ascii="Arial" w:eastAsia="Times New Roman" w:hAnsi="Arial" w:cs="Arial"/>
                <w:color w:val="000000"/>
                <w:lang w:eastAsia="en-GB"/>
              </w:rPr>
              <w:t>Other Fixed Term Deposits</w:t>
            </w:r>
          </w:p>
        </w:tc>
        <w:tc>
          <w:tcPr>
            <w:tcW w:w="1477" w:type="dxa"/>
            <w:tcBorders>
              <w:top w:val="nil"/>
              <w:left w:val="nil"/>
              <w:bottom w:val="nil"/>
              <w:right w:val="nil"/>
            </w:tcBorders>
            <w:shd w:val="clear" w:color="auto" w:fill="auto"/>
            <w:noWrap/>
            <w:vAlign w:val="bottom"/>
            <w:hideMark/>
          </w:tcPr>
          <w:p w14:paraId="657349EE" w14:textId="77777777" w:rsidR="00896225" w:rsidRPr="00896225" w:rsidRDefault="00896225" w:rsidP="00896225">
            <w:pPr>
              <w:spacing w:after="0" w:line="240" w:lineRule="auto"/>
              <w:jc w:val="right"/>
              <w:rPr>
                <w:rFonts w:ascii="Arial" w:eastAsia="Times New Roman" w:hAnsi="Arial" w:cs="Arial"/>
                <w:color w:val="000000"/>
                <w:lang w:eastAsia="en-GB"/>
              </w:rPr>
            </w:pPr>
            <w:r w:rsidRPr="00896225">
              <w:rPr>
                <w:rFonts w:ascii="Arial" w:eastAsia="Times New Roman" w:hAnsi="Arial" w:cs="Arial"/>
                <w:color w:val="000000"/>
                <w:lang w:eastAsia="en-GB"/>
              </w:rPr>
              <w:t>19,557</w:t>
            </w:r>
          </w:p>
        </w:tc>
        <w:tc>
          <w:tcPr>
            <w:tcW w:w="1237" w:type="dxa"/>
            <w:tcBorders>
              <w:top w:val="nil"/>
              <w:left w:val="nil"/>
              <w:bottom w:val="nil"/>
              <w:right w:val="nil"/>
            </w:tcBorders>
            <w:shd w:val="clear" w:color="auto" w:fill="auto"/>
            <w:noWrap/>
            <w:vAlign w:val="bottom"/>
            <w:hideMark/>
          </w:tcPr>
          <w:p w14:paraId="12E82AB9" w14:textId="77777777" w:rsidR="00896225" w:rsidRPr="00896225" w:rsidRDefault="00896225" w:rsidP="00896225">
            <w:pPr>
              <w:spacing w:after="0" w:line="240" w:lineRule="auto"/>
              <w:jc w:val="right"/>
              <w:rPr>
                <w:rFonts w:ascii="Arial" w:eastAsia="Times New Roman" w:hAnsi="Arial" w:cs="Arial"/>
                <w:color w:val="000000"/>
                <w:lang w:eastAsia="en-GB"/>
              </w:rPr>
            </w:pPr>
            <w:r w:rsidRPr="00896225">
              <w:rPr>
                <w:rFonts w:ascii="Arial" w:eastAsia="Times New Roman" w:hAnsi="Arial" w:cs="Arial"/>
                <w:color w:val="000000"/>
                <w:lang w:eastAsia="en-GB"/>
              </w:rPr>
              <w:t>70,993</w:t>
            </w:r>
          </w:p>
        </w:tc>
        <w:tc>
          <w:tcPr>
            <w:tcW w:w="1177" w:type="dxa"/>
            <w:tcBorders>
              <w:top w:val="nil"/>
              <w:left w:val="nil"/>
              <w:bottom w:val="nil"/>
              <w:right w:val="single" w:sz="4" w:space="0" w:color="auto"/>
            </w:tcBorders>
            <w:shd w:val="clear" w:color="auto" w:fill="auto"/>
            <w:noWrap/>
            <w:vAlign w:val="bottom"/>
            <w:hideMark/>
          </w:tcPr>
          <w:p w14:paraId="6FBBA6F6" w14:textId="77777777" w:rsidR="00896225" w:rsidRPr="00896225" w:rsidRDefault="00896225" w:rsidP="00896225">
            <w:pPr>
              <w:spacing w:after="0" w:line="240" w:lineRule="auto"/>
              <w:jc w:val="right"/>
              <w:rPr>
                <w:rFonts w:ascii="Arial" w:eastAsia="Times New Roman" w:hAnsi="Arial" w:cs="Arial"/>
                <w:color w:val="000000"/>
                <w:lang w:eastAsia="en-GB"/>
              </w:rPr>
            </w:pPr>
            <w:r w:rsidRPr="00896225">
              <w:rPr>
                <w:rFonts w:ascii="Arial" w:eastAsia="Times New Roman" w:hAnsi="Arial" w:cs="Arial"/>
                <w:color w:val="000000"/>
                <w:lang w:eastAsia="en-GB"/>
              </w:rPr>
              <w:t>0.72</w:t>
            </w:r>
          </w:p>
        </w:tc>
      </w:tr>
      <w:tr w:rsidR="00896225" w:rsidRPr="00896225" w14:paraId="4B055AC0" w14:textId="77777777" w:rsidTr="00896225">
        <w:trPr>
          <w:trHeight w:val="285"/>
        </w:trPr>
        <w:tc>
          <w:tcPr>
            <w:tcW w:w="4167" w:type="dxa"/>
            <w:tcBorders>
              <w:top w:val="nil"/>
              <w:left w:val="single" w:sz="4" w:space="0" w:color="auto"/>
              <w:bottom w:val="nil"/>
              <w:right w:val="nil"/>
            </w:tcBorders>
            <w:shd w:val="clear" w:color="auto" w:fill="auto"/>
            <w:noWrap/>
            <w:vAlign w:val="bottom"/>
            <w:hideMark/>
          </w:tcPr>
          <w:p w14:paraId="01644C9E" w14:textId="77777777" w:rsidR="00896225" w:rsidRPr="00896225" w:rsidRDefault="00896225" w:rsidP="00896225">
            <w:pPr>
              <w:spacing w:after="0" w:line="240" w:lineRule="auto"/>
              <w:rPr>
                <w:rFonts w:ascii="Arial" w:eastAsia="Times New Roman" w:hAnsi="Arial" w:cs="Arial"/>
                <w:color w:val="000000"/>
                <w:lang w:eastAsia="en-GB"/>
              </w:rPr>
            </w:pPr>
            <w:r w:rsidRPr="00896225">
              <w:rPr>
                <w:rFonts w:ascii="Arial" w:eastAsia="Times New Roman" w:hAnsi="Arial" w:cs="Arial"/>
                <w:color w:val="000000"/>
                <w:lang w:eastAsia="en-GB"/>
              </w:rPr>
              <w:t>Notice Accounts</w:t>
            </w:r>
          </w:p>
        </w:tc>
        <w:tc>
          <w:tcPr>
            <w:tcW w:w="1477" w:type="dxa"/>
            <w:tcBorders>
              <w:top w:val="nil"/>
              <w:left w:val="nil"/>
              <w:bottom w:val="nil"/>
              <w:right w:val="nil"/>
            </w:tcBorders>
            <w:shd w:val="clear" w:color="auto" w:fill="auto"/>
            <w:noWrap/>
            <w:vAlign w:val="bottom"/>
            <w:hideMark/>
          </w:tcPr>
          <w:p w14:paraId="7FDBF800" w14:textId="77777777" w:rsidR="00896225" w:rsidRPr="00896225" w:rsidRDefault="00896225" w:rsidP="00896225">
            <w:pPr>
              <w:spacing w:after="0" w:line="240" w:lineRule="auto"/>
              <w:jc w:val="right"/>
              <w:rPr>
                <w:rFonts w:ascii="Arial" w:eastAsia="Times New Roman" w:hAnsi="Arial" w:cs="Arial"/>
                <w:color w:val="000000"/>
                <w:lang w:eastAsia="en-GB"/>
              </w:rPr>
            </w:pPr>
            <w:r w:rsidRPr="00896225">
              <w:rPr>
                <w:rFonts w:ascii="Arial" w:eastAsia="Times New Roman" w:hAnsi="Arial" w:cs="Arial"/>
                <w:color w:val="000000"/>
                <w:lang w:eastAsia="en-GB"/>
              </w:rPr>
              <w:t>12,000</w:t>
            </w:r>
          </w:p>
        </w:tc>
        <w:tc>
          <w:tcPr>
            <w:tcW w:w="1237" w:type="dxa"/>
            <w:tcBorders>
              <w:top w:val="nil"/>
              <w:left w:val="nil"/>
              <w:bottom w:val="nil"/>
              <w:right w:val="nil"/>
            </w:tcBorders>
            <w:shd w:val="clear" w:color="auto" w:fill="auto"/>
            <w:noWrap/>
            <w:vAlign w:val="bottom"/>
            <w:hideMark/>
          </w:tcPr>
          <w:p w14:paraId="34C61775" w14:textId="77777777" w:rsidR="00896225" w:rsidRPr="00896225" w:rsidRDefault="00896225" w:rsidP="00896225">
            <w:pPr>
              <w:spacing w:after="0" w:line="240" w:lineRule="auto"/>
              <w:jc w:val="right"/>
              <w:rPr>
                <w:rFonts w:ascii="Arial" w:eastAsia="Times New Roman" w:hAnsi="Arial" w:cs="Arial"/>
                <w:color w:val="000000"/>
                <w:lang w:eastAsia="en-GB"/>
              </w:rPr>
            </w:pPr>
            <w:r w:rsidRPr="00896225">
              <w:rPr>
                <w:rFonts w:ascii="Arial" w:eastAsia="Times New Roman" w:hAnsi="Arial" w:cs="Arial"/>
                <w:color w:val="000000"/>
                <w:lang w:eastAsia="en-GB"/>
              </w:rPr>
              <w:t>35,144</w:t>
            </w:r>
          </w:p>
        </w:tc>
        <w:tc>
          <w:tcPr>
            <w:tcW w:w="1177" w:type="dxa"/>
            <w:tcBorders>
              <w:top w:val="nil"/>
              <w:left w:val="nil"/>
              <w:bottom w:val="nil"/>
              <w:right w:val="single" w:sz="4" w:space="0" w:color="auto"/>
            </w:tcBorders>
            <w:shd w:val="clear" w:color="auto" w:fill="auto"/>
            <w:noWrap/>
            <w:vAlign w:val="bottom"/>
            <w:hideMark/>
          </w:tcPr>
          <w:p w14:paraId="2E7EA179" w14:textId="77777777" w:rsidR="00896225" w:rsidRPr="00896225" w:rsidRDefault="00896225" w:rsidP="00896225">
            <w:pPr>
              <w:spacing w:after="0" w:line="240" w:lineRule="auto"/>
              <w:jc w:val="right"/>
              <w:rPr>
                <w:rFonts w:ascii="Arial" w:eastAsia="Times New Roman" w:hAnsi="Arial" w:cs="Arial"/>
                <w:color w:val="000000"/>
                <w:lang w:eastAsia="en-GB"/>
              </w:rPr>
            </w:pPr>
            <w:r w:rsidRPr="00896225">
              <w:rPr>
                <w:rFonts w:ascii="Arial" w:eastAsia="Times New Roman" w:hAnsi="Arial" w:cs="Arial"/>
                <w:color w:val="000000"/>
                <w:lang w:eastAsia="en-GB"/>
              </w:rPr>
              <w:t>0.58</w:t>
            </w:r>
          </w:p>
        </w:tc>
      </w:tr>
      <w:tr w:rsidR="00896225" w:rsidRPr="00896225" w14:paraId="549BCC61" w14:textId="77777777" w:rsidTr="00896225">
        <w:trPr>
          <w:trHeight w:val="285"/>
        </w:trPr>
        <w:tc>
          <w:tcPr>
            <w:tcW w:w="4167" w:type="dxa"/>
            <w:tcBorders>
              <w:top w:val="nil"/>
              <w:left w:val="single" w:sz="4" w:space="0" w:color="auto"/>
              <w:bottom w:val="nil"/>
              <w:right w:val="nil"/>
            </w:tcBorders>
            <w:shd w:val="clear" w:color="auto" w:fill="auto"/>
            <w:noWrap/>
            <w:vAlign w:val="bottom"/>
            <w:hideMark/>
          </w:tcPr>
          <w:p w14:paraId="27774FA5" w14:textId="77777777" w:rsidR="00896225" w:rsidRPr="00896225" w:rsidRDefault="00896225" w:rsidP="00896225">
            <w:pPr>
              <w:spacing w:after="0" w:line="240" w:lineRule="auto"/>
              <w:rPr>
                <w:rFonts w:ascii="Arial" w:eastAsia="Times New Roman" w:hAnsi="Arial" w:cs="Arial"/>
                <w:color w:val="000000"/>
                <w:lang w:eastAsia="en-GB"/>
              </w:rPr>
            </w:pPr>
            <w:r w:rsidRPr="00896225">
              <w:rPr>
                <w:rFonts w:ascii="Arial" w:eastAsia="Times New Roman" w:hAnsi="Arial" w:cs="Arial"/>
                <w:color w:val="000000"/>
                <w:lang w:eastAsia="en-GB"/>
              </w:rPr>
              <w:t>Call Accounts</w:t>
            </w:r>
          </w:p>
        </w:tc>
        <w:tc>
          <w:tcPr>
            <w:tcW w:w="1477" w:type="dxa"/>
            <w:tcBorders>
              <w:top w:val="nil"/>
              <w:left w:val="nil"/>
              <w:bottom w:val="nil"/>
              <w:right w:val="nil"/>
            </w:tcBorders>
            <w:shd w:val="clear" w:color="auto" w:fill="auto"/>
            <w:noWrap/>
            <w:vAlign w:val="bottom"/>
            <w:hideMark/>
          </w:tcPr>
          <w:p w14:paraId="273722E4" w14:textId="77777777" w:rsidR="00896225" w:rsidRPr="00896225" w:rsidRDefault="00896225" w:rsidP="00896225">
            <w:pPr>
              <w:spacing w:after="0" w:line="240" w:lineRule="auto"/>
              <w:jc w:val="right"/>
              <w:rPr>
                <w:rFonts w:ascii="Arial" w:eastAsia="Times New Roman" w:hAnsi="Arial" w:cs="Arial"/>
                <w:color w:val="000000"/>
                <w:lang w:eastAsia="en-GB"/>
              </w:rPr>
            </w:pPr>
            <w:r w:rsidRPr="00896225">
              <w:rPr>
                <w:rFonts w:ascii="Arial" w:eastAsia="Times New Roman" w:hAnsi="Arial" w:cs="Arial"/>
                <w:color w:val="000000"/>
                <w:lang w:eastAsia="en-GB"/>
              </w:rPr>
              <w:t>4,934</w:t>
            </w:r>
          </w:p>
        </w:tc>
        <w:tc>
          <w:tcPr>
            <w:tcW w:w="1237" w:type="dxa"/>
            <w:tcBorders>
              <w:top w:val="nil"/>
              <w:left w:val="nil"/>
              <w:bottom w:val="nil"/>
              <w:right w:val="nil"/>
            </w:tcBorders>
            <w:shd w:val="clear" w:color="auto" w:fill="auto"/>
            <w:noWrap/>
            <w:vAlign w:val="bottom"/>
            <w:hideMark/>
          </w:tcPr>
          <w:p w14:paraId="09425647" w14:textId="77777777" w:rsidR="00896225" w:rsidRPr="00896225" w:rsidRDefault="00896225" w:rsidP="00896225">
            <w:pPr>
              <w:spacing w:after="0" w:line="240" w:lineRule="auto"/>
              <w:jc w:val="right"/>
              <w:rPr>
                <w:rFonts w:ascii="Arial" w:eastAsia="Times New Roman" w:hAnsi="Arial" w:cs="Arial"/>
                <w:color w:val="000000"/>
                <w:lang w:eastAsia="en-GB"/>
              </w:rPr>
            </w:pPr>
            <w:r w:rsidRPr="00896225">
              <w:rPr>
                <w:rFonts w:ascii="Arial" w:eastAsia="Times New Roman" w:hAnsi="Arial" w:cs="Arial"/>
                <w:color w:val="000000"/>
                <w:lang w:eastAsia="en-GB"/>
              </w:rPr>
              <w:t>6,527</w:t>
            </w:r>
          </w:p>
        </w:tc>
        <w:tc>
          <w:tcPr>
            <w:tcW w:w="1177" w:type="dxa"/>
            <w:tcBorders>
              <w:top w:val="nil"/>
              <w:left w:val="nil"/>
              <w:bottom w:val="nil"/>
              <w:right w:val="single" w:sz="4" w:space="0" w:color="auto"/>
            </w:tcBorders>
            <w:shd w:val="clear" w:color="auto" w:fill="auto"/>
            <w:noWrap/>
            <w:vAlign w:val="bottom"/>
            <w:hideMark/>
          </w:tcPr>
          <w:p w14:paraId="50F4A647" w14:textId="77777777" w:rsidR="00896225" w:rsidRPr="00896225" w:rsidRDefault="00896225" w:rsidP="00896225">
            <w:pPr>
              <w:spacing w:after="0" w:line="240" w:lineRule="auto"/>
              <w:jc w:val="right"/>
              <w:rPr>
                <w:rFonts w:ascii="Arial" w:eastAsia="Times New Roman" w:hAnsi="Arial" w:cs="Arial"/>
                <w:color w:val="000000"/>
                <w:lang w:eastAsia="en-GB"/>
              </w:rPr>
            </w:pPr>
            <w:r w:rsidRPr="00896225">
              <w:rPr>
                <w:rFonts w:ascii="Arial" w:eastAsia="Times New Roman" w:hAnsi="Arial" w:cs="Arial"/>
                <w:color w:val="000000"/>
                <w:lang w:eastAsia="en-GB"/>
              </w:rPr>
              <w:t>0.26</w:t>
            </w:r>
          </w:p>
        </w:tc>
      </w:tr>
      <w:tr w:rsidR="00896225" w:rsidRPr="00896225" w14:paraId="678378EF" w14:textId="77777777" w:rsidTr="00896225">
        <w:trPr>
          <w:trHeight w:val="285"/>
        </w:trPr>
        <w:tc>
          <w:tcPr>
            <w:tcW w:w="4167" w:type="dxa"/>
            <w:tcBorders>
              <w:top w:val="nil"/>
              <w:left w:val="single" w:sz="4" w:space="0" w:color="auto"/>
              <w:bottom w:val="nil"/>
              <w:right w:val="nil"/>
            </w:tcBorders>
            <w:shd w:val="clear" w:color="auto" w:fill="auto"/>
            <w:noWrap/>
            <w:vAlign w:val="bottom"/>
            <w:hideMark/>
          </w:tcPr>
          <w:p w14:paraId="77FC963A" w14:textId="77777777" w:rsidR="00896225" w:rsidRPr="00896225" w:rsidRDefault="00896225" w:rsidP="00896225">
            <w:pPr>
              <w:spacing w:after="0" w:line="240" w:lineRule="auto"/>
              <w:rPr>
                <w:rFonts w:ascii="Arial" w:eastAsia="Times New Roman" w:hAnsi="Arial" w:cs="Arial"/>
                <w:color w:val="000000"/>
                <w:lang w:eastAsia="en-GB"/>
              </w:rPr>
            </w:pPr>
            <w:r w:rsidRPr="00896225">
              <w:rPr>
                <w:rFonts w:ascii="Arial" w:eastAsia="Times New Roman" w:hAnsi="Arial" w:cs="Arial"/>
                <w:color w:val="000000"/>
                <w:lang w:eastAsia="en-GB"/>
              </w:rPr>
              <w:t>Money Market Funds</w:t>
            </w:r>
          </w:p>
        </w:tc>
        <w:tc>
          <w:tcPr>
            <w:tcW w:w="1477" w:type="dxa"/>
            <w:tcBorders>
              <w:top w:val="nil"/>
              <w:left w:val="nil"/>
              <w:bottom w:val="nil"/>
              <w:right w:val="nil"/>
            </w:tcBorders>
            <w:shd w:val="clear" w:color="auto" w:fill="auto"/>
            <w:noWrap/>
            <w:vAlign w:val="bottom"/>
            <w:hideMark/>
          </w:tcPr>
          <w:p w14:paraId="301C2BFA" w14:textId="77777777" w:rsidR="00896225" w:rsidRPr="00896225" w:rsidRDefault="00896225" w:rsidP="00896225">
            <w:pPr>
              <w:spacing w:after="0" w:line="240" w:lineRule="auto"/>
              <w:jc w:val="right"/>
              <w:rPr>
                <w:rFonts w:ascii="Arial" w:eastAsia="Times New Roman" w:hAnsi="Arial" w:cs="Arial"/>
                <w:color w:val="000000"/>
                <w:lang w:eastAsia="en-GB"/>
              </w:rPr>
            </w:pPr>
            <w:r w:rsidRPr="00896225">
              <w:rPr>
                <w:rFonts w:ascii="Arial" w:eastAsia="Times New Roman" w:hAnsi="Arial" w:cs="Arial"/>
                <w:color w:val="000000"/>
                <w:lang w:eastAsia="en-GB"/>
              </w:rPr>
              <w:t>14,503</w:t>
            </w:r>
          </w:p>
        </w:tc>
        <w:tc>
          <w:tcPr>
            <w:tcW w:w="1237" w:type="dxa"/>
            <w:tcBorders>
              <w:top w:val="nil"/>
              <w:left w:val="nil"/>
              <w:bottom w:val="nil"/>
              <w:right w:val="nil"/>
            </w:tcBorders>
            <w:shd w:val="clear" w:color="auto" w:fill="auto"/>
            <w:noWrap/>
            <w:vAlign w:val="bottom"/>
            <w:hideMark/>
          </w:tcPr>
          <w:p w14:paraId="43CFE7DE" w14:textId="77777777" w:rsidR="00896225" w:rsidRPr="00896225" w:rsidRDefault="00896225" w:rsidP="00896225">
            <w:pPr>
              <w:spacing w:after="0" w:line="240" w:lineRule="auto"/>
              <w:jc w:val="right"/>
              <w:rPr>
                <w:rFonts w:ascii="Arial" w:eastAsia="Times New Roman" w:hAnsi="Arial" w:cs="Arial"/>
                <w:color w:val="000000"/>
                <w:lang w:eastAsia="en-GB"/>
              </w:rPr>
            </w:pPr>
            <w:r w:rsidRPr="00896225">
              <w:rPr>
                <w:rFonts w:ascii="Arial" w:eastAsia="Times New Roman" w:hAnsi="Arial" w:cs="Arial"/>
                <w:color w:val="000000"/>
                <w:lang w:eastAsia="en-GB"/>
              </w:rPr>
              <w:t>84,879</w:t>
            </w:r>
          </w:p>
        </w:tc>
        <w:tc>
          <w:tcPr>
            <w:tcW w:w="1177" w:type="dxa"/>
            <w:tcBorders>
              <w:top w:val="nil"/>
              <w:left w:val="nil"/>
              <w:bottom w:val="nil"/>
              <w:right w:val="single" w:sz="4" w:space="0" w:color="auto"/>
            </w:tcBorders>
            <w:shd w:val="clear" w:color="auto" w:fill="auto"/>
            <w:noWrap/>
            <w:vAlign w:val="bottom"/>
            <w:hideMark/>
          </w:tcPr>
          <w:p w14:paraId="19FF0585" w14:textId="77777777" w:rsidR="00896225" w:rsidRPr="00896225" w:rsidRDefault="00896225" w:rsidP="00896225">
            <w:pPr>
              <w:spacing w:after="0" w:line="240" w:lineRule="auto"/>
              <w:jc w:val="right"/>
              <w:rPr>
                <w:rFonts w:ascii="Arial" w:eastAsia="Times New Roman" w:hAnsi="Arial" w:cs="Arial"/>
                <w:color w:val="000000"/>
                <w:lang w:eastAsia="en-GB"/>
              </w:rPr>
            </w:pPr>
            <w:r w:rsidRPr="00896225">
              <w:rPr>
                <w:rFonts w:ascii="Arial" w:eastAsia="Times New Roman" w:hAnsi="Arial" w:cs="Arial"/>
                <w:color w:val="000000"/>
                <w:lang w:eastAsia="en-GB"/>
              </w:rPr>
              <w:t>1.17</w:t>
            </w:r>
          </w:p>
        </w:tc>
      </w:tr>
      <w:tr w:rsidR="00896225" w:rsidRPr="00896225" w14:paraId="7C15BD43" w14:textId="77777777" w:rsidTr="00896225">
        <w:trPr>
          <w:trHeight w:val="285"/>
        </w:trPr>
        <w:tc>
          <w:tcPr>
            <w:tcW w:w="4167" w:type="dxa"/>
            <w:tcBorders>
              <w:top w:val="nil"/>
              <w:left w:val="single" w:sz="4" w:space="0" w:color="auto"/>
              <w:bottom w:val="nil"/>
              <w:right w:val="nil"/>
            </w:tcBorders>
            <w:shd w:val="clear" w:color="auto" w:fill="auto"/>
            <w:noWrap/>
            <w:vAlign w:val="bottom"/>
            <w:hideMark/>
          </w:tcPr>
          <w:p w14:paraId="39C35CD0" w14:textId="77777777" w:rsidR="00896225" w:rsidRPr="00896225" w:rsidRDefault="00896225" w:rsidP="00896225">
            <w:pPr>
              <w:spacing w:after="0" w:line="240" w:lineRule="auto"/>
              <w:rPr>
                <w:rFonts w:ascii="Arial" w:eastAsia="Times New Roman" w:hAnsi="Arial" w:cs="Arial"/>
                <w:color w:val="000000"/>
                <w:lang w:eastAsia="en-GB"/>
              </w:rPr>
            </w:pPr>
            <w:r w:rsidRPr="00896225">
              <w:rPr>
                <w:rFonts w:ascii="Arial" w:eastAsia="Times New Roman" w:hAnsi="Arial" w:cs="Arial"/>
                <w:color w:val="000000"/>
                <w:lang w:eastAsia="en-GB"/>
              </w:rPr>
              <w:t> </w:t>
            </w:r>
          </w:p>
        </w:tc>
        <w:tc>
          <w:tcPr>
            <w:tcW w:w="1477" w:type="dxa"/>
            <w:tcBorders>
              <w:top w:val="nil"/>
              <w:left w:val="nil"/>
              <w:bottom w:val="nil"/>
              <w:right w:val="nil"/>
            </w:tcBorders>
            <w:shd w:val="clear" w:color="auto" w:fill="auto"/>
            <w:noWrap/>
            <w:vAlign w:val="bottom"/>
            <w:hideMark/>
          </w:tcPr>
          <w:p w14:paraId="16CC784C" w14:textId="77777777" w:rsidR="00896225" w:rsidRPr="00896225" w:rsidRDefault="00896225" w:rsidP="00896225">
            <w:pPr>
              <w:spacing w:after="0" w:line="240" w:lineRule="auto"/>
              <w:rPr>
                <w:rFonts w:ascii="Arial" w:eastAsia="Times New Roman" w:hAnsi="Arial" w:cs="Arial"/>
                <w:color w:val="000000"/>
                <w:lang w:eastAsia="en-GB"/>
              </w:rPr>
            </w:pPr>
          </w:p>
        </w:tc>
        <w:tc>
          <w:tcPr>
            <w:tcW w:w="1237" w:type="dxa"/>
            <w:tcBorders>
              <w:top w:val="nil"/>
              <w:left w:val="nil"/>
              <w:bottom w:val="nil"/>
              <w:right w:val="nil"/>
            </w:tcBorders>
            <w:shd w:val="clear" w:color="auto" w:fill="auto"/>
            <w:noWrap/>
            <w:vAlign w:val="bottom"/>
            <w:hideMark/>
          </w:tcPr>
          <w:p w14:paraId="3D2FC231" w14:textId="77777777" w:rsidR="00896225" w:rsidRPr="00896225" w:rsidRDefault="00896225" w:rsidP="00896225">
            <w:pPr>
              <w:spacing w:after="0" w:line="240" w:lineRule="auto"/>
              <w:rPr>
                <w:rFonts w:ascii="Times New Roman" w:eastAsia="Times New Roman" w:hAnsi="Times New Roman" w:cs="Times New Roman"/>
                <w:sz w:val="20"/>
                <w:szCs w:val="20"/>
                <w:lang w:eastAsia="en-GB"/>
              </w:rPr>
            </w:pPr>
          </w:p>
        </w:tc>
        <w:tc>
          <w:tcPr>
            <w:tcW w:w="1177" w:type="dxa"/>
            <w:tcBorders>
              <w:top w:val="nil"/>
              <w:left w:val="nil"/>
              <w:bottom w:val="single" w:sz="4" w:space="0" w:color="auto"/>
              <w:right w:val="single" w:sz="4" w:space="0" w:color="auto"/>
            </w:tcBorders>
            <w:shd w:val="clear" w:color="auto" w:fill="auto"/>
            <w:noWrap/>
            <w:vAlign w:val="bottom"/>
            <w:hideMark/>
          </w:tcPr>
          <w:p w14:paraId="6C39AFAF" w14:textId="77777777" w:rsidR="00896225" w:rsidRPr="00896225" w:rsidRDefault="00896225" w:rsidP="00896225">
            <w:pPr>
              <w:spacing w:after="0" w:line="240" w:lineRule="auto"/>
              <w:rPr>
                <w:rFonts w:ascii="Arial" w:eastAsia="Times New Roman" w:hAnsi="Arial" w:cs="Arial"/>
                <w:color w:val="000000"/>
                <w:lang w:eastAsia="en-GB"/>
              </w:rPr>
            </w:pPr>
            <w:r w:rsidRPr="00896225">
              <w:rPr>
                <w:rFonts w:ascii="Arial" w:eastAsia="Times New Roman" w:hAnsi="Arial" w:cs="Arial"/>
                <w:color w:val="000000"/>
                <w:lang w:eastAsia="en-GB"/>
              </w:rPr>
              <w:t> </w:t>
            </w:r>
          </w:p>
        </w:tc>
      </w:tr>
      <w:tr w:rsidR="00896225" w:rsidRPr="00896225" w14:paraId="6ECAE3CD" w14:textId="77777777" w:rsidTr="00896225">
        <w:trPr>
          <w:trHeight w:val="300"/>
        </w:trPr>
        <w:tc>
          <w:tcPr>
            <w:tcW w:w="4167" w:type="dxa"/>
            <w:tcBorders>
              <w:top w:val="nil"/>
              <w:left w:val="single" w:sz="4" w:space="0" w:color="auto"/>
              <w:bottom w:val="nil"/>
              <w:right w:val="nil"/>
            </w:tcBorders>
            <w:shd w:val="clear" w:color="auto" w:fill="auto"/>
            <w:noWrap/>
            <w:vAlign w:val="bottom"/>
            <w:hideMark/>
          </w:tcPr>
          <w:p w14:paraId="690ABABC" w14:textId="77777777" w:rsidR="00896225" w:rsidRPr="00896225" w:rsidRDefault="00896225" w:rsidP="00896225">
            <w:pPr>
              <w:spacing w:after="0" w:line="240" w:lineRule="auto"/>
              <w:rPr>
                <w:rFonts w:ascii="Arial" w:eastAsia="Times New Roman" w:hAnsi="Arial" w:cs="Arial"/>
                <w:b/>
                <w:bCs/>
                <w:color w:val="000000"/>
                <w:lang w:eastAsia="en-GB"/>
              </w:rPr>
            </w:pPr>
            <w:r w:rsidRPr="00896225">
              <w:rPr>
                <w:rFonts w:ascii="Arial" w:eastAsia="Times New Roman" w:hAnsi="Arial" w:cs="Arial"/>
                <w:b/>
                <w:bCs/>
                <w:color w:val="000000"/>
                <w:lang w:eastAsia="en-GB"/>
              </w:rPr>
              <w:t>Total</w:t>
            </w:r>
          </w:p>
        </w:tc>
        <w:tc>
          <w:tcPr>
            <w:tcW w:w="1477" w:type="dxa"/>
            <w:tcBorders>
              <w:top w:val="single" w:sz="4" w:space="0" w:color="auto"/>
              <w:left w:val="nil"/>
              <w:bottom w:val="single" w:sz="4" w:space="0" w:color="auto"/>
              <w:right w:val="nil"/>
            </w:tcBorders>
            <w:shd w:val="clear" w:color="auto" w:fill="auto"/>
            <w:noWrap/>
            <w:vAlign w:val="bottom"/>
            <w:hideMark/>
          </w:tcPr>
          <w:p w14:paraId="5BAAA0D4" w14:textId="77777777" w:rsidR="00896225" w:rsidRPr="00896225" w:rsidRDefault="00896225" w:rsidP="00896225">
            <w:pPr>
              <w:spacing w:after="0" w:line="240" w:lineRule="auto"/>
              <w:jc w:val="right"/>
              <w:rPr>
                <w:rFonts w:ascii="Arial" w:eastAsia="Times New Roman" w:hAnsi="Arial" w:cs="Arial"/>
                <w:b/>
                <w:bCs/>
                <w:color w:val="000000"/>
                <w:lang w:eastAsia="en-GB"/>
              </w:rPr>
            </w:pPr>
            <w:r w:rsidRPr="00896225">
              <w:rPr>
                <w:rFonts w:ascii="Arial" w:eastAsia="Times New Roman" w:hAnsi="Arial" w:cs="Arial"/>
                <w:b/>
                <w:bCs/>
                <w:color w:val="000000"/>
                <w:lang w:eastAsia="en-GB"/>
              </w:rPr>
              <w:t>54,639</w:t>
            </w:r>
          </w:p>
        </w:tc>
        <w:tc>
          <w:tcPr>
            <w:tcW w:w="1237" w:type="dxa"/>
            <w:tcBorders>
              <w:top w:val="single" w:sz="4" w:space="0" w:color="auto"/>
              <w:left w:val="nil"/>
              <w:bottom w:val="single" w:sz="4" w:space="0" w:color="auto"/>
              <w:right w:val="nil"/>
            </w:tcBorders>
            <w:shd w:val="clear" w:color="auto" w:fill="auto"/>
            <w:noWrap/>
            <w:vAlign w:val="bottom"/>
            <w:hideMark/>
          </w:tcPr>
          <w:p w14:paraId="3BE8B963" w14:textId="77777777" w:rsidR="00896225" w:rsidRPr="00896225" w:rsidRDefault="00896225" w:rsidP="00896225">
            <w:pPr>
              <w:spacing w:after="0" w:line="240" w:lineRule="auto"/>
              <w:jc w:val="right"/>
              <w:rPr>
                <w:rFonts w:ascii="Arial" w:eastAsia="Times New Roman" w:hAnsi="Arial" w:cs="Arial"/>
                <w:b/>
                <w:bCs/>
                <w:color w:val="000000"/>
                <w:lang w:eastAsia="en-GB"/>
              </w:rPr>
            </w:pPr>
            <w:r w:rsidRPr="00896225">
              <w:rPr>
                <w:rFonts w:ascii="Arial" w:eastAsia="Times New Roman" w:hAnsi="Arial" w:cs="Arial"/>
                <w:b/>
                <w:bCs/>
                <w:color w:val="000000"/>
                <w:lang w:eastAsia="en-GB"/>
              </w:rPr>
              <w:t>216,541</w:t>
            </w:r>
          </w:p>
        </w:tc>
        <w:tc>
          <w:tcPr>
            <w:tcW w:w="1177" w:type="dxa"/>
            <w:tcBorders>
              <w:top w:val="nil"/>
              <w:left w:val="nil"/>
              <w:bottom w:val="single" w:sz="4" w:space="0" w:color="auto"/>
              <w:right w:val="single" w:sz="4" w:space="0" w:color="auto"/>
            </w:tcBorders>
            <w:shd w:val="clear" w:color="auto" w:fill="auto"/>
            <w:noWrap/>
            <w:vAlign w:val="bottom"/>
            <w:hideMark/>
          </w:tcPr>
          <w:p w14:paraId="6A1CD2AB" w14:textId="77777777" w:rsidR="00896225" w:rsidRPr="00896225" w:rsidRDefault="00896225" w:rsidP="00896225">
            <w:pPr>
              <w:spacing w:after="0" w:line="240" w:lineRule="auto"/>
              <w:jc w:val="right"/>
              <w:rPr>
                <w:rFonts w:ascii="Arial" w:eastAsia="Times New Roman" w:hAnsi="Arial" w:cs="Arial"/>
                <w:b/>
                <w:bCs/>
                <w:color w:val="000000"/>
                <w:lang w:eastAsia="en-GB"/>
              </w:rPr>
            </w:pPr>
            <w:r w:rsidRPr="00896225">
              <w:rPr>
                <w:rFonts w:ascii="Arial" w:eastAsia="Times New Roman" w:hAnsi="Arial" w:cs="Arial"/>
                <w:b/>
                <w:bCs/>
                <w:color w:val="000000"/>
                <w:lang w:eastAsia="en-GB"/>
              </w:rPr>
              <w:t>0.79%</w:t>
            </w:r>
          </w:p>
        </w:tc>
      </w:tr>
      <w:tr w:rsidR="00896225" w:rsidRPr="00896225" w14:paraId="2187D53B" w14:textId="77777777" w:rsidTr="00896225">
        <w:trPr>
          <w:trHeight w:val="285"/>
        </w:trPr>
        <w:tc>
          <w:tcPr>
            <w:tcW w:w="4167" w:type="dxa"/>
            <w:tcBorders>
              <w:top w:val="nil"/>
              <w:left w:val="single" w:sz="4" w:space="0" w:color="auto"/>
              <w:bottom w:val="single" w:sz="4" w:space="0" w:color="auto"/>
              <w:right w:val="nil"/>
            </w:tcBorders>
            <w:shd w:val="clear" w:color="auto" w:fill="auto"/>
            <w:noWrap/>
            <w:vAlign w:val="bottom"/>
            <w:hideMark/>
          </w:tcPr>
          <w:p w14:paraId="78922F13" w14:textId="77777777" w:rsidR="00896225" w:rsidRPr="00896225" w:rsidRDefault="00896225" w:rsidP="00896225">
            <w:pPr>
              <w:spacing w:after="0" w:line="240" w:lineRule="auto"/>
              <w:rPr>
                <w:rFonts w:ascii="Arial" w:eastAsia="Times New Roman" w:hAnsi="Arial" w:cs="Arial"/>
                <w:color w:val="000000"/>
                <w:lang w:eastAsia="en-GB"/>
              </w:rPr>
            </w:pPr>
            <w:r w:rsidRPr="00896225">
              <w:rPr>
                <w:rFonts w:ascii="Arial" w:eastAsia="Times New Roman" w:hAnsi="Arial" w:cs="Arial"/>
                <w:color w:val="000000"/>
                <w:lang w:eastAsia="en-GB"/>
              </w:rPr>
              <w:t> </w:t>
            </w:r>
          </w:p>
        </w:tc>
        <w:tc>
          <w:tcPr>
            <w:tcW w:w="1477" w:type="dxa"/>
            <w:tcBorders>
              <w:top w:val="nil"/>
              <w:left w:val="nil"/>
              <w:bottom w:val="single" w:sz="4" w:space="0" w:color="auto"/>
              <w:right w:val="nil"/>
            </w:tcBorders>
            <w:shd w:val="clear" w:color="auto" w:fill="auto"/>
            <w:noWrap/>
            <w:vAlign w:val="bottom"/>
            <w:hideMark/>
          </w:tcPr>
          <w:p w14:paraId="1B24D2A2" w14:textId="77777777" w:rsidR="00896225" w:rsidRPr="00896225" w:rsidRDefault="00896225" w:rsidP="00896225">
            <w:pPr>
              <w:spacing w:after="0" w:line="240" w:lineRule="auto"/>
              <w:rPr>
                <w:rFonts w:ascii="Arial" w:eastAsia="Times New Roman" w:hAnsi="Arial" w:cs="Arial"/>
                <w:color w:val="000000"/>
                <w:lang w:eastAsia="en-GB"/>
              </w:rPr>
            </w:pPr>
            <w:r w:rsidRPr="00896225">
              <w:rPr>
                <w:rFonts w:ascii="Arial" w:eastAsia="Times New Roman" w:hAnsi="Arial" w:cs="Arial"/>
                <w:color w:val="000000"/>
                <w:lang w:eastAsia="en-GB"/>
              </w:rPr>
              <w:t> </w:t>
            </w:r>
          </w:p>
        </w:tc>
        <w:tc>
          <w:tcPr>
            <w:tcW w:w="1237" w:type="dxa"/>
            <w:tcBorders>
              <w:top w:val="nil"/>
              <w:left w:val="nil"/>
              <w:bottom w:val="single" w:sz="4" w:space="0" w:color="auto"/>
              <w:right w:val="nil"/>
            </w:tcBorders>
            <w:shd w:val="clear" w:color="auto" w:fill="auto"/>
            <w:noWrap/>
            <w:vAlign w:val="bottom"/>
            <w:hideMark/>
          </w:tcPr>
          <w:p w14:paraId="6EB14586" w14:textId="77777777" w:rsidR="00896225" w:rsidRPr="00896225" w:rsidRDefault="00896225" w:rsidP="00896225">
            <w:pPr>
              <w:spacing w:after="0" w:line="240" w:lineRule="auto"/>
              <w:rPr>
                <w:rFonts w:ascii="Arial" w:eastAsia="Times New Roman" w:hAnsi="Arial" w:cs="Arial"/>
                <w:color w:val="000000"/>
                <w:lang w:eastAsia="en-GB"/>
              </w:rPr>
            </w:pPr>
            <w:r w:rsidRPr="00896225">
              <w:rPr>
                <w:rFonts w:ascii="Arial" w:eastAsia="Times New Roman" w:hAnsi="Arial" w:cs="Arial"/>
                <w:color w:val="000000"/>
                <w:lang w:eastAsia="en-GB"/>
              </w:rPr>
              <w:t> </w:t>
            </w:r>
          </w:p>
        </w:tc>
        <w:tc>
          <w:tcPr>
            <w:tcW w:w="1177" w:type="dxa"/>
            <w:tcBorders>
              <w:top w:val="nil"/>
              <w:left w:val="nil"/>
              <w:bottom w:val="single" w:sz="4" w:space="0" w:color="auto"/>
              <w:right w:val="single" w:sz="4" w:space="0" w:color="auto"/>
            </w:tcBorders>
            <w:shd w:val="clear" w:color="auto" w:fill="auto"/>
            <w:noWrap/>
            <w:vAlign w:val="bottom"/>
            <w:hideMark/>
          </w:tcPr>
          <w:p w14:paraId="21C51A1F" w14:textId="77777777" w:rsidR="00896225" w:rsidRPr="00896225" w:rsidRDefault="00896225" w:rsidP="00896225">
            <w:pPr>
              <w:spacing w:after="0" w:line="240" w:lineRule="auto"/>
              <w:rPr>
                <w:rFonts w:ascii="Arial" w:eastAsia="Times New Roman" w:hAnsi="Arial" w:cs="Arial"/>
                <w:color w:val="000000"/>
                <w:lang w:eastAsia="en-GB"/>
              </w:rPr>
            </w:pPr>
            <w:r w:rsidRPr="00896225">
              <w:rPr>
                <w:rFonts w:ascii="Arial" w:eastAsia="Times New Roman" w:hAnsi="Arial" w:cs="Arial"/>
                <w:color w:val="000000"/>
                <w:lang w:eastAsia="en-GB"/>
              </w:rPr>
              <w:t> </w:t>
            </w:r>
          </w:p>
        </w:tc>
      </w:tr>
    </w:tbl>
    <w:p w14:paraId="03C4E2DD" w14:textId="77777777" w:rsidR="00896225" w:rsidRPr="00386C64" w:rsidRDefault="00896225" w:rsidP="00896225">
      <w:pPr>
        <w:pStyle w:val="ListParagraph"/>
        <w:pBdr>
          <w:top w:val="single" w:sz="2" w:space="1" w:color="FFFFFF"/>
          <w:left w:val="single" w:sz="2" w:space="0" w:color="FFFFFF"/>
          <w:bottom w:val="single" w:sz="2" w:space="2" w:color="FFFFFF"/>
          <w:right w:val="single" w:sz="2" w:space="4" w:color="FFFFFF"/>
        </w:pBdr>
        <w:spacing w:after="0" w:line="240" w:lineRule="auto"/>
        <w:ind w:left="567" w:right="142"/>
        <w:jc w:val="both"/>
        <w:rPr>
          <w:rFonts w:cstheme="minorHAnsi"/>
        </w:rPr>
      </w:pPr>
    </w:p>
    <w:p w14:paraId="1A131CA4" w14:textId="77777777" w:rsidR="00AA0DB2" w:rsidRPr="00935646" w:rsidRDefault="00AA0DB2" w:rsidP="0020515A">
      <w:pPr>
        <w:pBdr>
          <w:top w:val="single" w:sz="2" w:space="1" w:color="FFFFFF"/>
          <w:left w:val="single" w:sz="2" w:space="0" w:color="FFFFFF"/>
          <w:bottom w:val="single" w:sz="2" w:space="2" w:color="FFFFFF"/>
          <w:right w:val="single" w:sz="2" w:space="4" w:color="FFFFFF"/>
        </w:pBdr>
        <w:tabs>
          <w:tab w:val="left" w:pos="567"/>
        </w:tabs>
        <w:ind w:left="567" w:right="142"/>
        <w:jc w:val="both"/>
      </w:pPr>
      <w:r w:rsidRPr="00935646">
        <w:t xml:space="preserve">This compares to a Link “benchmark” yield of </w:t>
      </w:r>
      <w:r>
        <w:t>1.22</w:t>
      </w:r>
      <w:r w:rsidRPr="001A3FCB">
        <w:t>%. Many of the Council’s investments were made prior to recent interest rate rises – hence the shortfall compared to the benchmark, however any new investments will attract higher rates of return. It should also be noted that investment income is forecast to exceed the amount budgeted for.</w:t>
      </w:r>
    </w:p>
    <w:p w14:paraId="556D2EB6" w14:textId="1CEECB09" w:rsidR="000A5EC7" w:rsidRDefault="000A5EC7" w:rsidP="000A5EC7">
      <w:pPr>
        <w:pStyle w:val="ListParagraph"/>
        <w:numPr>
          <w:ilvl w:val="0"/>
          <w:numId w:val="20"/>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2"/>
        <w:jc w:val="both"/>
        <w:rPr>
          <w:rFonts w:cstheme="minorHAnsi"/>
        </w:rPr>
      </w:pPr>
      <w:r w:rsidRPr="00386C64">
        <w:rPr>
          <w:rFonts w:cstheme="minorHAnsi"/>
        </w:rPr>
        <w:t>Actual investments as at 30</w:t>
      </w:r>
      <w:r w:rsidRPr="00386C64">
        <w:rPr>
          <w:rFonts w:cstheme="minorHAnsi"/>
          <w:vertAlign w:val="superscript"/>
        </w:rPr>
        <w:t>th</w:t>
      </w:r>
      <w:r w:rsidRPr="00386C64">
        <w:rPr>
          <w:rFonts w:cstheme="minorHAnsi"/>
        </w:rPr>
        <w:t xml:space="preserve"> September 2022 are summarised below;</w:t>
      </w:r>
    </w:p>
    <w:p w14:paraId="43597D88" w14:textId="2CE3F0B9" w:rsidR="002804C9" w:rsidRDefault="002804C9" w:rsidP="0072268D">
      <w:pPr>
        <w:pStyle w:val="ListParagraph"/>
        <w:pBdr>
          <w:top w:val="single" w:sz="2" w:space="1" w:color="FFFFFF"/>
          <w:left w:val="single" w:sz="2" w:space="0" w:color="FFFFFF"/>
          <w:bottom w:val="single" w:sz="2" w:space="2" w:color="FFFFFF"/>
          <w:right w:val="single" w:sz="2" w:space="4" w:color="FFFFFF"/>
        </w:pBdr>
        <w:spacing w:after="0" w:line="240" w:lineRule="auto"/>
        <w:ind w:left="567" w:right="142"/>
        <w:jc w:val="both"/>
        <w:rPr>
          <w:rFonts w:cstheme="minorHAnsi"/>
        </w:rPr>
      </w:pPr>
    </w:p>
    <w:tbl>
      <w:tblPr>
        <w:tblW w:w="9276" w:type="dxa"/>
        <w:tblInd w:w="562" w:type="dxa"/>
        <w:tblLook w:val="04A0" w:firstRow="1" w:lastRow="0" w:firstColumn="1" w:lastColumn="0" w:noHBand="0" w:noVBand="1"/>
      </w:tblPr>
      <w:tblGrid>
        <w:gridCol w:w="3261"/>
        <w:gridCol w:w="1117"/>
        <w:gridCol w:w="1047"/>
        <w:gridCol w:w="954"/>
        <w:gridCol w:w="1597"/>
        <w:gridCol w:w="1300"/>
      </w:tblGrid>
      <w:tr w:rsidR="002804C9" w:rsidRPr="002804C9" w14:paraId="54E7D5AC" w14:textId="77777777" w:rsidTr="002804C9">
        <w:trPr>
          <w:trHeight w:val="630"/>
        </w:trPr>
        <w:tc>
          <w:tcPr>
            <w:tcW w:w="3261" w:type="dxa"/>
            <w:tcBorders>
              <w:top w:val="single" w:sz="4" w:space="0" w:color="auto"/>
              <w:left w:val="single" w:sz="4" w:space="0" w:color="auto"/>
              <w:bottom w:val="nil"/>
              <w:right w:val="single" w:sz="4" w:space="0" w:color="auto"/>
            </w:tcBorders>
            <w:shd w:val="clear" w:color="000000" w:fill="DDD9C4"/>
            <w:hideMark/>
          </w:tcPr>
          <w:p w14:paraId="691B0B62" w14:textId="77777777" w:rsidR="002804C9" w:rsidRPr="002804C9" w:rsidRDefault="002804C9" w:rsidP="002804C9">
            <w:pPr>
              <w:spacing w:after="0" w:line="240" w:lineRule="auto"/>
              <w:rPr>
                <w:rFonts w:ascii="Arial" w:eastAsia="Times New Roman" w:hAnsi="Arial" w:cs="Arial"/>
                <w:b/>
                <w:bCs/>
                <w:color w:val="000000"/>
                <w:lang w:eastAsia="en-GB"/>
              </w:rPr>
            </w:pPr>
            <w:r w:rsidRPr="002804C9">
              <w:rPr>
                <w:rFonts w:ascii="Arial" w:eastAsia="Times New Roman" w:hAnsi="Arial" w:cs="Arial"/>
                <w:b/>
                <w:bCs/>
                <w:color w:val="000000"/>
                <w:lang w:eastAsia="en-GB"/>
              </w:rPr>
              <w:t>Table 5 - Actual Investments as at 30/9/22</w:t>
            </w:r>
          </w:p>
        </w:tc>
        <w:tc>
          <w:tcPr>
            <w:tcW w:w="1117" w:type="dxa"/>
            <w:tcBorders>
              <w:top w:val="single" w:sz="4" w:space="0" w:color="auto"/>
              <w:left w:val="nil"/>
              <w:bottom w:val="nil"/>
              <w:right w:val="single" w:sz="4" w:space="0" w:color="auto"/>
            </w:tcBorders>
            <w:shd w:val="clear" w:color="auto" w:fill="auto"/>
            <w:noWrap/>
            <w:hideMark/>
          </w:tcPr>
          <w:p w14:paraId="4D909135" w14:textId="77777777" w:rsidR="002804C9" w:rsidRPr="002804C9" w:rsidRDefault="002804C9" w:rsidP="002804C9">
            <w:pPr>
              <w:spacing w:after="0" w:line="240" w:lineRule="auto"/>
              <w:jc w:val="center"/>
              <w:rPr>
                <w:rFonts w:ascii="Arial" w:eastAsia="Times New Roman" w:hAnsi="Arial" w:cs="Arial"/>
                <w:b/>
                <w:bCs/>
                <w:color w:val="000000"/>
                <w:lang w:eastAsia="en-GB"/>
              </w:rPr>
            </w:pPr>
            <w:r w:rsidRPr="002804C9">
              <w:rPr>
                <w:rFonts w:ascii="Arial" w:eastAsia="Times New Roman" w:hAnsi="Arial" w:cs="Arial"/>
                <w:b/>
                <w:bCs/>
                <w:color w:val="000000"/>
                <w:lang w:eastAsia="en-GB"/>
              </w:rPr>
              <w:t>Type</w:t>
            </w:r>
          </w:p>
        </w:tc>
        <w:tc>
          <w:tcPr>
            <w:tcW w:w="1047" w:type="dxa"/>
            <w:tcBorders>
              <w:top w:val="single" w:sz="4" w:space="0" w:color="auto"/>
              <w:left w:val="nil"/>
              <w:bottom w:val="nil"/>
              <w:right w:val="single" w:sz="4" w:space="0" w:color="auto"/>
            </w:tcBorders>
            <w:shd w:val="clear" w:color="auto" w:fill="auto"/>
            <w:hideMark/>
          </w:tcPr>
          <w:p w14:paraId="3E1F7998" w14:textId="77777777" w:rsidR="002804C9" w:rsidRPr="002804C9" w:rsidRDefault="002804C9" w:rsidP="002804C9">
            <w:pPr>
              <w:spacing w:after="0" w:line="240" w:lineRule="auto"/>
              <w:jc w:val="center"/>
              <w:rPr>
                <w:rFonts w:ascii="Arial" w:eastAsia="Times New Roman" w:hAnsi="Arial" w:cs="Arial"/>
                <w:b/>
                <w:bCs/>
                <w:color w:val="000000"/>
                <w:lang w:eastAsia="en-GB"/>
              </w:rPr>
            </w:pPr>
            <w:r w:rsidRPr="002804C9">
              <w:rPr>
                <w:rFonts w:ascii="Arial" w:eastAsia="Times New Roman" w:hAnsi="Arial" w:cs="Arial"/>
                <w:b/>
                <w:bCs/>
                <w:color w:val="000000"/>
                <w:lang w:eastAsia="en-GB"/>
              </w:rPr>
              <w:t>Amount £'000</w:t>
            </w:r>
          </w:p>
        </w:tc>
        <w:tc>
          <w:tcPr>
            <w:tcW w:w="954" w:type="dxa"/>
            <w:tcBorders>
              <w:top w:val="single" w:sz="4" w:space="0" w:color="auto"/>
              <w:left w:val="nil"/>
              <w:bottom w:val="nil"/>
              <w:right w:val="single" w:sz="4" w:space="0" w:color="auto"/>
            </w:tcBorders>
            <w:shd w:val="clear" w:color="auto" w:fill="auto"/>
            <w:noWrap/>
            <w:hideMark/>
          </w:tcPr>
          <w:p w14:paraId="58887FCE" w14:textId="77777777" w:rsidR="002804C9" w:rsidRPr="002804C9" w:rsidRDefault="002804C9" w:rsidP="002804C9">
            <w:pPr>
              <w:spacing w:after="0" w:line="240" w:lineRule="auto"/>
              <w:jc w:val="center"/>
              <w:rPr>
                <w:rFonts w:ascii="Arial" w:eastAsia="Times New Roman" w:hAnsi="Arial" w:cs="Arial"/>
                <w:b/>
                <w:bCs/>
                <w:color w:val="000000"/>
                <w:lang w:eastAsia="en-GB"/>
              </w:rPr>
            </w:pPr>
            <w:r w:rsidRPr="002804C9">
              <w:rPr>
                <w:rFonts w:ascii="Arial" w:eastAsia="Times New Roman" w:hAnsi="Arial" w:cs="Arial"/>
                <w:b/>
                <w:bCs/>
                <w:color w:val="000000"/>
                <w:lang w:eastAsia="en-GB"/>
              </w:rPr>
              <w:t>Rate %</w:t>
            </w:r>
          </w:p>
        </w:tc>
        <w:tc>
          <w:tcPr>
            <w:tcW w:w="1597" w:type="dxa"/>
            <w:tcBorders>
              <w:top w:val="single" w:sz="4" w:space="0" w:color="auto"/>
              <w:left w:val="nil"/>
              <w:bottom w:val="nil"/>
              <w:right w:val="single" w:sz="4" w:space="0" w:color="auto"/>
            </w:tcBorders>
            <w:shd w:val="clear" w:color="auto" w:fill="auto"/>
            <w:noWrap/>
            <w:hideMark/>
          </w:tcPr>
          <w:p w14:paraId="079BD589" w14:textId="77777777" w:rsidR="002804C9" w:rsidRPr="002804C9" w:rsidRDefault="002804C9" w:rsidP="002804C9">
            <w:pPr>
              <w:spacing w:after="0" w:line="240" w:lineRule="auto"/>
              <w:jc w:val="center"/>
              <w:rPr>
                <w:rFonts w:ascii="Arial" w:eastAsia="Times New Roman" w:hAnsi="Arial" w:cs="Arial"/>
                <w:b/>
                <w:bCs/>
                <w:color w:val="000000"/>
                <w:lang w:eastAsia="en-GB"/>
              </w:rPr>
            </w:pPr>
            <w:r w:rsidRPr="002804C9">
              <w:rPr>
                <w:rFonts w:ascii="Arial" w:eastAsia="Times New Roman" w:hAnsi="Arial" w:cs="Arial"/>
                <w:b/>
                <w:bCs/>
                <w:color w:val="000000"/>
                <w:lang w:eastAsia="en-GB"/>
              </w:rPr>
              <w:t xml:space="preserve">Date </w:t>
            </w:r>
          </w:p>
        </w:tc>
        <w:tc>
          <w:tcPr>
            <w:tcW w:w="1300" w:type="dxa"/>
            <w:tcBorders>
              <w:top w:val="single" w:sz="4" w:space="0" w:color="auto"/>
              <w:left w:val="nil"/>
              <w:bottom w:val="nil"/>
              <w:right w:val="single" w:sz="4" w:space="0" w:color="auto"/>
            </w:tcBorders>
            <w:shd w:val="clear" w:color="auto" w:fill="auto"/>
            <w:noWrap/>
            <w:hideMark/>
          </w:tcPr>
          <w:p w14:paraId="005B9821" w14:textId="77777777" w:rsidR="002804C9" w:rsidRPr="002804C9" w:rsidRDefault="002804C9" w:rsidP="002804C9">
            <w:pPr>
              <w:spacing w:after="0" w:line="240" w:lineRule="auto"/>
              <w:jc w:val="center"/>
              <w:rPr>
                <w:rFonts w:ascii="Arial" w:eastAsia="Times New Roman" w:hAnsi="Arial" w:cs="Arial"/>
                <w:b/>
                <w:bCs/>
                <w:color w:val="000000"/>
                <w:lang w:eastAsia="en-GB"/>
              </w:rPr>
            </w:pPr>
            <w:r w:rsidRPr="002804C9">
              <w:rPr>
                <w:rFonts w:ascii="Arial" w:eastAsia="Times New Roman" w:hAnsi="Arial" w:cs="Arial"/>
                <w:b/>
                <w:bCs/>
                <w:color w:val="000000"/>
                <w:lang w:eastAsia="en-GB"/>
              </w:rPr>
              <w:t>Maturity</w:t>
            </w:r>
          </w:p>
        </w:tc>
      </w:tr>
      <w:tr w:rsidR="002804C9" w:rsidRPr="002804C9" w14:paraId="65676917" w14:textId="77777777" w:rsidTr="002804C9">
        <w:trPr>
          <w:trHeight w:val="285"/>
        </w:trPr>
        <w:tc>
          <w:tcPr>
            <w:tcW w:w="3261" w:type="dxa"/>
            <w:tcBorders>
              <w:top w:val="single" w:sz="4" w:space="0" w:color="auto"/>
              <w:left w:val="single" w:sz="4" w:space="0" w:color="auto"/>
              <w:bottom w:val="nil"/>
              <w:right w:val="nil"/>
            </w:tcBorders>
            <w:shd w:val="clear" w:color="auto" w:fill="auto"/>
            <w:noWrap/>
            <w:vAlign w:val="bottom"/>
            <w:hideMark/>
          </w:tcPr>
          <w:p w14:paraId="5CFCFD5A" w14:textId="77777777" w:rsidR="002804C9" w:rsidRPr="002804C9" w:rsidRDefault="002804C9" w:rsidP="002804C9">
            <w:pPr>
              <w:spacing w:after="0" w:line="240" w:lineRule="auto"/>
              <w:rPr>
                <w:rFonts w:ascii="Arial" w:eastAsia="Times New Roman" w:hAnsi="Arial" w:cs="Arial"/>
                <w:color w:val="000000"/>
                <w:lang w:eastAsia="en-GB"/>
              </w:rPr>
            </w:pPr>
            <w:r w:rsidRPr="002804C9">
              <w:rPr>
                <w:rFonts w:ascii="Arial" w:eastAsia="Times New Roman" w:hAnsi="Arial" w:cs="Arial"/>
                <w:color w:val="000000"/>
                <w:lang w:eastAsia="en-GB"/>
              </w:rPr>
              <w:t>Goldman Sachs</w:t>
            </w:r>
          </w:p>
        </w:tc>
        <w:tc>
          <w:tcPr>
            <w:tcW w:w="1117" w:type="dxa"/>
            <w:tcBorders>
              <w:top w:val="single" w:sz="4" w:space="0" w:color="auto"/>
              <w:left w:val="nil"/>
              <w:bottom w:val="nil"/>
              <w:right w:val="nil"/>
            </w:tcBorders>
            <w:shd w:val="clear" w:color="auto" w:fill="auto"/>
            <w:noWrap/>
            <w:vAlign w:val="bottom"/>
            <w:hideMark/>
          </w:tcPr>
          <w:p w14:paraId="70905410" w14:textId="77777777" w:rsidR="002804C9" w:rsidRPr="002804C9" w:rsidRDefault="002804C9" w:rsidP="002804C9">
            <w:pPr>
              <w:spacing w:after="0" w:line="240" w:lineRule="auto"/>
              <w:jc w:val="center"/>
              <w:rPr>
                <w:rFonts w:ascii="Arial" w:eastAsia="Times New Roman" w:hAnsi="Arial" w:cs="Arial"/>
                <w:color w:val="000000"/>
                <w:lang w:eastAsia="en-GB"/>
              </w:rPr>
            </w:pPr>
            <w:r w:rsidRPr="002804C9">
              <w:rPr>
                <w:rFonts w:ascii="Arial" w:eastAsia="Times New Roman" w:hAnsi="Arial" w:cs="Arial"/>
                <w:color w:val="000000"/>
                <w:lang w:eastAsia="en-GB"/>
              </w:rPr>
              <w:t>Term</w:t>
            </w:r>
          </w:p>
        </w:tc>
        <w:tc>
          <w:tcPr>
            <w:tcW w:w="1047" w:type="dxa"/>
            <w:tcBorders>
              <w:top w:val="single" w:sz="4" w:space="0" w:color="auto"/>
              <w:left w:val="nil"/>
              <w:bottom w:val="nil"/>
              <w:right w:val="nil"/>
            </w:tcBorders>
            <w:shd w:val="clear" w:color="auto" w:fill="auto"/>
            <w:noWrap/>
            <w:vAlign w:val="bottom"/>
            <w:hideMark/>
          </w:tcPr>
          <w:p w14:paraId="6BF5D901" w14:textId="77777777" w:rsidR="002804C9" w:rsidRPr="002804C9" w:rsidRDefault="002804C9" w:rsidP="002804C9">
            <w:pPr>
              <w:spacing w:after="0" w:line="240" w:lineRule="auto"/>
              <w:jc w:val="right"/>
              <w:rPr>
                <w:rFonts w:ascii="Arial" w:eastAsia="Times New Roman" w:hAnsi="Arial" w:cs="Arial"/>
                <w:color w:val="000000"/>
                <w:lang w:eastAsia="en-GB"/>
              </w:rPr>
            </w:pPr>
            <w:r w:rsidRPr="002804C9">
              <w:rPr>
                <w:rFonts w:ascii="Arial" w:eastAsia="Times New Roman" w:hAnsi="Arial" w:cs="Arial"/>
                <w:color w:val="000000"/>
                <w:lang w:eastAsia="en-GB"/>
              </w:rPr>
              <w:t>4,000</w:t>
            </w:r>
          </w:p>
        </w:tc>
        <w:tc>
          <w:tcPr>
            <w:tcW w:w="954" w:type="dxa"/>
            <w:tcBorders>
              <w:top w:val="single" w:sz="4" w:space="0" w:color="auto"/>
              <w:left w:val="nil"/>
              <w:bottom w:val="nil"/>
              <w:right w:val="nil"/>
            </w:tcBorders>
            <w:shd w:val="clear" w:color="auto" w:fill="auto"/>
            <w:noWrap/>
            <w:vAlign w:val="bottom"/>
            <w:hideMark/>
          </w:tcPr>
          <w:p w14:paraId="5192EA7B" w14:textId="77777777" w:rsidR="002804C9" w:rsidRPr="002804C9" w:rsidRDefault="002804C9" w:rsidP="002804C9">
            <w:pPr>
              <w:spacing w:after="0" w:line="240" w:lineRule="auto"/>
              <w:jc w:val="center"/>
              <w:rPr>
                <w:rFonts w:ascii="Arial" w:eastAsia="Times New Roman" w:hAnsi="Arial" w:cs="Arial"/>
                <w:color w:val="000000"/>
                <w:lang w:eastAsia="en-GB"/>
              </w:rPr>
            </w:pPr>
            <w:r w:rsidRPr="002804C9">
              <w:rPr>
                <w:rFonts w:ascii="Arial" w:eastAsia="Times New Roman" w:hAnsi="Arial" w:cs="Arial"/>
                <w:color w:val="000000"/>
                <w:lang w:eastAsia="en-GB"/>
              </w:rPr>
              <w:t>2.31%</w:t>
            </w:r>
          </w:p>
        </w:tc>
        <w:tc>
          <w:tcPr>
            <w:tcW w:w="1597" w:type="dxa"/>
            <w:tcBorders>
              <w:top w:val="single" w:sz="4" w:space="0" w:color="auto"/>
              <w:left w:val="nil"/>
              <w:bottom w:val="nil"/>
              <w:right w:val="nil"/>
            </w:tcBorders>
            <w:shd w:val="clear" w:color="auto" w:fill="auto"/>
            <w:noWrap/>
            <w:vAlign w:val="bottom"/>
            <w:hideMark/>
          </w:tcPr>
          <w:p w14:paraId="0C3A58EA" w14:textId="77777777" w:rsidR="002804C9" w:rsidRPr="002804C9" w:rsidRDefault="002804C9" w:rsidP="002804C9">
            <w:pPr>
              <w:spacing w:after="0" w:line="240" w:lineRule="auto"/>
              <w:jc w:val="center"/>
              <w:rPr>
                <w:rFonts w:ascii="Arial" w:eastAsia="Times New Roman" w:hAnsi="Arial" w:cs="Arial"/>
                <w:lang w:eastAsia="en-GB"/>
              </w:rPr>
            </w:pPr>
            <w:r w:rsidRPr="002804C9">
              <w:rPr>
                <w:rFonts w:ascii="Arial" w:eastAsia="Times New Roman" w:hAnsi="Arial" w:cs="Arial"/>
                <w:lang w:eastAsia="en-GB"/>
              </w:rPr>
              <w:t>01-Aug-22</w:t>
            </w:r>
          </w:p>
        </w:tc>
        <w:tc>
          <w:tcPr>
            <w:tcW w:w="1300" w:type="dxa"/>
            <w:tcBorders>
              <w:top w:val="single" w:sz="4" w:space="0" w:color="auto"/>
              <w:left w:val="nil"/>
              <w:bottom w:val="nil"/>
              <w:right w:val="single" w:sz="4" w:space="0" w:color="auto"/>
            </w:tcBorders>
            <w:shd w:val="clear" w:color="auto" w:fill="auto"/>
            <w:noWrap/>
            <w:vAlign w:val="bottom"/>
            <w:hideMark/>
          </w:tcPr>
          <w:p w14:paraId="3571AF86" w14:textId="77777777" w:rsidR="002804C9" w:rsidRPr="002804C9" w:rsidRDefault="002804C9" w:rsidP="002804C9">
            <w:pPr>
              <w:spacing w:after="0" w:line="240" w:lineRule="auto"/>
              <w:jc w:val="center"/>
              <w:rPr>
                <w:rFonts w:ascii="Arial" w:eastAsia="Times New Roman" w:hAnsi="Arial" w:cs="Arial"/>
                <w:lang w:eastAsia="en-GB"/>
              </w:rPr>
            </w:pPr>
            <w:r w:rsidRPr="002804C9">
              <w:rPr>
                <w:rFonts w:ascii="Arial" w:eastAsia="Times New Roman" w:hAnsi="Arial" w:cs="Arial"/>
                <w:lang w:eastAsia="en-GB"/>
              </w:rPr>
              <w:t>01-Feb-23</w:t>
            </w:r>
          </w:p>
        </w:tc>
      </w:tr>
      <w:tr w:rsidR="002804C9" w:rsidRPr="002804C9" w14:paraId="04360D47" w14:textId="77777777" w:rsidTr="002804C9">
        <w:trPr>
          <w:trHeight w:val="285"/>
        </w:trPr>
        <w:tc>
          <w:tcPr>
            <w:tcW w:w="3261" w:type="dxa"/>
            <w:tcBorders>
              <w:top w:val="nil"/>
              <w:left w:val="single" w:sz="4" w:space="0" w:color="auto"/>
              <w:bottom w:val="nil"/>
              <w:right w:val="nil"/>
            </w:tcBorders>
            <w:shd w:val="clear" w:color="auto" w:fill="auto"/>
            <w:noWrap/>
            <w:vAlign w:val="bottom"/>
            <w:hideMark/>
          </w:tcPr>
          <w:p w14:paraId="4B378726" w14:textId="77777777" w:rsidR="002804C9" w:rsidRPr="002804C9" w:rsidRDefault="002804C9" w:rsidP="002804C9">
            <w:pPr>
              <w:spacing w:after="0" w:line="240" w:lineRule="auto"/>
              <w:rPr>
                <w:rFonts w:ascii="Arial" w:eastAsia="Times New Roman" w:hAnsi="Arial" w:cs="Arial"/>
                <w:color w:val="000000"/>
                <w:lang w:eastAsia="en-GB"/>
              </w:rPr>
            </w:pPr>
            <w:r w:rsidRPr="002804C9">
              <w:rPr>
                <w:rFonts w:ascii="Arial" w:eastAsia="Times New Roman" w:hAnsi="Arial" w:cs="Arial"/>
                <w:color w:val="000000"/>
                <w:lang w:eastAsia="en-GB"/>
              </w:rPr>
              <w:t>Helaba</w:t>
            </w:r>
          </w:p>
        </w:tc>
        <w:tc>
          <w:tcPr>
            <w:tcW w:w="1117" w:type="dxa"/>
            <w:tcBorders>
              <w:top w:val="nil"/>
              <w:left w:val="nil"/>
              <w:bottom w:val="nil"/>
              <w:right w:val="nil"/>
            </w:tcBorders>
            <w:shd w:val="clear" w:color="auto" w:fill="auto"/>
            <w:noWrap/>
            <w:vAlign w:val="bottom"/>
            <w:hideMark/>
          </w:tcPr>
          <w:p w14:paraId="2C4896F2" w14:textId="77777777" w:rsidR="002804C9" w:rsidRPr="002804C9" w:rsidRDefault="002804C9" w:rsidP="002804C9">
            <w:pPr>
              <w:spacing w:after="0" w:line="240" w:lineRule="auto"/>
              <w:jc w:val="center"/>
              <w:rPr>
                <w:rFonts w:ascii="Arial" w:eastAsia="Times New Roman" w:hAnsi="Arial" w:cs="Arial"/>
                <w:color w:val="000000"/>
                <w:lang w:eastAsia="en-GB"/>
              </w:rPr>
            </w:pPr>
            <w:r w:rsidRPr="002804C9">
              <w:rPr>
                <w:rFonts w:ascii="Arial" w:eastAsia="Times New Roman" w:hAnsi="Arial" w:cs="Arial"/>
                <w:color w:val="000000"/>
                <w:lang w:eastAsia="en-GB"/>
              </w:rPr>
              <w:t>Term</w:t>
            </w:r>
          </w:p>
        </w:tc>
        <w:tc>
          <w:tcPr>
            <w:tcW w:w="1047" w:type="dxa"/>
            <w:tcBorders>
              <w:top w:val="nil"/>
              <w:left w:val="nil"/>
              <w:bottom w:val="nil"/>
              <w:right w:val="nil"/>
            </w:tcBorders>
            <w:shd w:val="clear" w:color="auto" w:fill="auto"/>
            <w:noWrap/>
            <w:vAlign w:val="bottom"/>
            <w:hideMark/>
          </w:tcPr>
          <w:p w14:paraId="77D38918" w14:textId="77777777" w:rsidR="002804C9" w:rsidRPr="002804C9" w:rsidRDefault="002804C9" w:rsidP="002804C9">
            <w:pPr>
              <w:spacing w:after="0" w:line="240" w:lineRule="auto"/>
              <w:jc w:val="right"/>
              <w:rPr>
                <w:rFonts w:ascii="Arial" w:eastAsia="Times New Roman" w:hAnsi="Arial" w:cs="Arial"/>
                <w:color w:val="000000"/>
                <w:lang w:eastAsia="en-GB"/>
              </w:rPr>
            </w:pPr>
            <w:r w:rsidRPr="002804C9">
              <w:rPr>
                <w:rFonts w:ascii="Arial" w:eastAsia="Times New Roman" w:hAnsi="Arial" w:cs="Arial"/>
                <w:color w:val="000000"/>
                <w:lang w:eastAsia="en-GB"/>
              </w:rPr>
              <w:t>4,000</w:t>
            </w:r>
          </w:p>
        </w:tc>
        <w:tc>
          <w:tcPr>
            <w:tcW w:w="954" w:type="dxa"/>
            <w:tcBorders>
              <w:top w:val="nil"/>
              <w:left w:val="nil"/>
              <w:bottom w:val="nil"/>
              <w:right w:val="nil"/>
            </w:tcBorders>
            <w:shd w:val="clear" w:color="auto" w:fill="auto"/>
            <w:noWrap/>
            <w:vAlign w:val="bottom"/>
            <w:hideMark/>
          </w:tcPr>
          <w:p w14:paraId="093F4CFE" w14:textId="77777777" w:rsidR="002804C9" w:rsidRPr="002804C9" w:rsidRDefault="002804C9" w:rsidP="002804C9">
            <w:pPr>
              <w:spacing w:after="0" w:line="240" w:lineRule="auto"/>
              <w:jc w:val="center"/>
              <w:rPr>
                <w:rFonts w:ascii="Arial" w:eastAsia="Times New Roman" w:hAnsi="Arial" w:cs="Arial"/>
                <w:color w:val="000000"/>
                <w:lang w:eastAsia="en-GB"/>
              </w:rPr>
            </w:pPr>
            <w:r w:rsidRPr="002804C9">
              <w:rPr>
                <w:rFonts w:ascii="Arial" w:eastAsia="Times New Roman" w:hAnsi="Arial" w:cs="Arial"/>
                <w:color w:val="000000"/>
                <w:lang w:eastAsia="en-GB"/>
              </w:rPr>
              <w:t>2.39%</w:t>
            </w:r>
          </w:p>
        </w:tc>
        <w:tc>
          <w:tcPr>
            <w:tcW w:w="1597" w:type="dxa"/>
            <w:tcBorders>
              <w:top w:val="nil"/>
              <w:left w:val="nil"/>
              <w:bottom w:val="nil"/>
              <w:right w:val="nil"/>
            </w:tcBorders>
            <w:shd w:val="clear" w:color="auto" w:fill="auto"/>
            <w:noWrap/>
            <w:vAlign w:val="bottom"/>
            <w:hideMark/>
          </w:tcPr>
          <w:p w14:paraId="5C7955B5" w14:textId="77777777" w:rsidR="002804C9" w:rsidRPr="002804C9" w:rsidRDefault="002804C9" w:rsidP="002804C9">
            <w:pPr>
              <w:spacing w:after="0" w:line="240" w:lineRule="auto"/>
              <w:jc w:val="center"/>
              <w:rPr>
                <w:rFonts w:ascii="Arial" w:eastAsia="Times New Roman" w:hAnsi="Arial" w:cs="Arial"/>
                <w:lang w:eastAsia="en-GB"/>
              </w:rPr>
            </w:pPr>
            <w:r w:rsidRPr="002804C9">
              <w:rPr>
                <w:rFonts w:ascii="Arial" w:eastAsia="Times New Roman" w:hAnsi="Arial" w:cs="Arial"/>
                <w:lang w:eastAsia="en-GB"/>
              </w:rPr>
              <w:t>02-Aug-22</w:t>
            </w:r>
          </w:p>
        </w:tc>
        <w:tc>
          <w:tcPr>
            <w:tcW w:w="1300" w:type="dxa"/>
            <w:tcBorders>
              <w:top w:val="nil"/>
              <w:left w:val="nil"/>
              <w:bottom w:val="nil"/>
              <w:right w:val="single" w:sz="4" w:space="0" w:color="auto"/>
            </w:tcBorders>
            <w:shd w:val="clear" w:color="auto" w:fill="auto"/>
            <w:noWrap/>
            <w:vAlign w:val="bottom"/>
            <w:hideMark/>
          </w:tcPr>
          <w:p w14:paraId="35D9EBC1" w14:textId="77777777" w:rsidR="002804C9" w:rsidRPr="002804C9" w:rsidRDefault="002804C9" w:rsidP="002804C9">
            <w:pPr>
              <w:spacing w:after="0" w:line="240" w:lineRule="auto"/>
              <w:jc w:val="center"/>
              <w:rPr>
                <w:rFonts w:ascii="Arial" w:eastAsia="Times New Roman" w:hAnsi="Arial" w:cs="Arial"/>
                <w:lang w:eastAsia="en-GB"/>
              </w:rPr>
            </w:pPr>
            <w:r w:rsidRPr="002804C9">
              <w:rPr>
                <w:rFonts w:ascii="Arial" w:eastAsia="Times New Roman" w:hAnsi="Arial" w:cs="Arial"/>
                <w:lang w:eastAsia="en-GB"/>
              </w:rPr>
              <w:t>02-Feb-23</w:t>
            </w:r>
          </w:p>
        </w:tc>
      </w:tr>
      <w:tr w:rsidR="002804C9" w:rsidRPr="002804C9" w14:paraId="4E6F0DB8" w14:textId="77777777" w:rsidTr="002804C9">
        <w:trPr>
          <w:trHeight w:val="285"/>
        </w:trPr>
        <w:tc>
          <w:tcPr>
            <w:tcW w:w="3261" w:type="dxa"/>
            <w:tcBorders>
              <w:top w:val="nil"/>
              <w:left w:val="single" w:sz="4" w:space="0" w:color="auto"/>
              <w:bottom w:val="nil"/>
              <w:right w:val="nil"/>
            </w:tcBorders>
            <w:shd w:val="clear" w:color="auto" w:fill="auto"/>
            <w:noWrap/>
            <w:vAlign w:val="bottom"/>
            <w:hideMark/>
          </w:tcPr>
          <w:p w14:paraId="28A81F2E" w14:textId="77777777" w:rsidR="002804C9" w:rsidRPr="002804C9" w:rsidRDefault="002804C9" w:rsidP="002804C9">
            <w:pPr>
              <w:spacing w:after="0" w:line="240" w:lineRule="auto"/>
              <w:rPr>
                <w:rFonts w:ascii="Arial" w:eastAsia="Times New Roman" w:hAnsi="Arial" w:cs="Arial"/>
                <w:color w:val="000000"/>
                <w:lang w:eastAsia="en-GB"/>
              </w:rPr>
            </w:pPr>
            <w:r w:rsidRPr="002804C9">
              <w:rPr>
                <w:rFonts w:ascii="Arial" w:eastAsia="Times New Roman" w:hAnsi="Arial" w:cs="Arial"/>
                <w:color w:val="000000"/>
                <w:lang w:eastAsia="en-GB"/>
              </w:rPr>
              <w:t>Lancashire County Council</w:t>
            </w:r>
          </w:p>
        </w:tc>
        <w:tc>
          <w:tcPr>
            <w:tcW w:w="1117" w:type="dxa"/>
            <w:tcBorders>
              <w:top w:val="nil"/>
              <w:left w:val="nil"/>
              <w:bottom w:val="nil"/>
              <w:right w:val="nil"/>
            </w:tcBorders>
            <w:shd w:val="clear" w:color="auto" w:fill="auto"/>
            <w:noWrap/>
            <w:vAlign w:val="bottom"/>
            <w:hideMark/>
          </w:tcPr>
          <w:p w14:paraId="54C0FF00" w14:textId="77777777" w:rsidR="002804C9" w:rsidRPr="002804C9" w:rsidRDefault="002804C9" w:rsidP="002804C9">
            <w:pPr>
              <w:spacing w:after="0" w:line="240" w:lineRule="auto"/>
              <w:jc w:val="center"/>
              <w:rPr>
                <w:rFonts w:ascii="Arial" w:eastAsia="Times New Roman" w:hAnsi="Arial" w:cs="Arial"/>
                <w:color w:val="000000"/>
                <w:lang w:eastAsia="en-GB"/>
              </w:rPr>
            </w:pPr>
            <w:r w:rsidRPr="002804C9">
              <w:rPr>
                <w:rFonts w:ascii="Arial" w:eastAsia="Times New Roman" w:hAnsi="Arial" w:cs="Arial"/>
                <w:color w:val="000000"/>
                <w:lang w:eastAsia="en-GB"/>
              </w:rPr>
              <w:t>Term</w:t>
            </w:r>
          </w:p>
        </w:tc>
        <w:tc>
          <w:tcPr>
            <w:tcW w:w="1047" w:type="dxa"/>
            <w:tcBorders>
              <w:top w:val="nil"/>
              <w:left w:val="nil"/>
              <w:bottom w:val="nil"/>
              <w:right w:val="nil"/>
            </w:tcBorders>
            <w:shd w:val="clear" w:color="auto" w:fill="auto"/>
            <w:noWrap/>
            <w:vAlign w:val="bottom"/>
            <w:hideMark/>
          </w:tcPr>
          <w:p w14:paraId="0B03944C" w14:textId="77777777" w:rsidR="002804C9" w:rsidRPr="002804C9" w:rsidRDefault="002804C9" w:rsidP="002804C9">
            <w:pPr>
              <w:spacing w:after="0" w:line="240" w:lineRule="auto"/>
              <w:jc w:val="right"/>
              <w:rPr>
                <w:rFonts w:ascii="Arial" w:eastAsia="Times New Roman" w:hAnsi="Arial" w:cs="Arial"/>
                <w:color w:val="000000"/>
                <w:lang w:eastAsia="en-GB"/>
              </w:rPr>
            </w:pPr>
            <w:r w:rsidRPr="002804C9">
              <w:rPr>
                <w:rFonts w:ascii="Arial" w:eastAsia="Times New Roman" w:hAnsi="Arial" w:cs="Arial"/>
                <w:color w:val="000000"/>
                <w:lang w:eastAsia="en-GB"/>
              </w:rPr>
              <w:t>5,000</w:t>
            </w:r>
          </w:p>
        </w:tc>
        <w:tc>
          <w:tcPr>
            <w:tcW w:w="954" w:type="dxa"/>
            <w:tcBorders>
              <w:top w:val="nil"/>
              <w:left w:val="nil"/>
              <w:bottom w:val="nil"/>
              <w:right w:val="nil"/>
            </w:tcBorders>
            <w:shd w:val="clear" w:color="auto" w:fill="auto"/>
            <w:noWrap/>
            <w:vAlign w:val="bottom"/>
            <w:hideMark/>
          </w:tcPr>
          <w:p w14:paraId="235CCD4D" w14:textId="77777777" w:rsidR="002804C9" w:rsidRPr="002804C9" w:rsidRDefault="002804C9" w:rsidP="002804C9">
            <w:pPr>
              <w:spacing w:after="0" w:line="240" w:lineRule="auto"/>
              <w:jc w:val="center"/>
              <w:rPr>
                <w:rFonts w:ascii="Arial" w:eastAsia="Times New Roman" w:hAnsi="Arial" w:cs="Arial"/>
                <w:color w:val="000000"/>
                <w:lang w:eastAsia="en-GB"/>
              </w:rPr>
            </w:pPr>
            <w:r w:rsidRPr="002804C9">
              <w:rPr>
                <w:rFonts w:ascii="Arial" w:eastAsia="Times New Roman" w:hAnsi="Arial" w:cs="Arial"/>
                <w:color w:val="000000"/>
                <w:lang w:eastAsia="en-GB"/>
              </w:rPr>
              <w:t>1.40%</w:t>
            </w:r>
          </w:p>
        </w:tc>
        <w:tc>
          <w:tcPr>
            <w:tcW w:w="1597" w:type="dxa"/>
            <w:tcBorders>
              <w:top w:val="nil"/>
              <w:left w:val="nil"/>
              <w:bottom w:val="nil"/>
              <w:right w:val="nil"/>
            </w:tcBorders>
            <w:shd w:val="clear" w:color="auto" w:fill="auto"/>
            <w:noWrap/>
            <w:vAlign w:val="bottom"/>
            <w:hideMark/>
          </w:tcPr>
          <w:p w14:paraId="3A3CC476" w14:textId="77777777" w:rsidR="002804C9" w:rsidRPr="002804C9" w:rsidRDefault="002804C9" w:rsidP="002804C9">
            <w:pPr>
              <w:spacing w:after="0" w:line="240" w:lineRule="auto"/>
              <w:jc w:val="center"/>
              <w:rPr>
                <w:rFonts w:ascii="Arial" w:eastAsia="Times New Roman" w:hAnsi="Arial" w:cs="Arial"/>
                <w:lang w:eastAsia="en-GB"/>
              </w:rPr>
            </w:pPr>
            <w:r w:rsidRPr="002804C9">
              <w:rPr>
                <w:rFonts w:ascii="Arial" w:eastAsia="Times New Roman" w:hAnsi="Arial" w:cs="Arial"/>
                <w:lang w:eastAsia="en-GB"/>
              </w:rPr>
              <w:t>26-Aug-22</w:t>
            </w:r>
          </w:p>
        </w:tc>
        <w:tc>
          <w:tcPr>
            <w:tcW w:w="1300" w:type="dxa"/>
            <w:tcBorders>
              <w:top w:val="nil"/>
              <w:left w:val="nil"/>
              <w:bottom w:val="nil"/>
              <w:right w:val="single" w:sz="4" w:space="0" w:color="auto"/>
            </w:tcBorders>
            <w:shd w:val="clear" w:color="auto" w:fill="auto"/>
            <w:noWrap/>
            <w:vAlign w:val="bottom"/>
            <w:hideMark/>
          </w:tcPr>
          <w:p w14:paraId="4849B344" w14:textId="77777777" w:rsidR="002804C9" w:rsidRPr="002804C9" w:rsidRDefault="002804C9" w:rsidP="002804C9">
            <w:pPr>
              <w:spacing w:after="0" w:line="240" w:lineRule="auto"/>
              <w:jc w:val="center"/>
              <w:rPr>
                <w:rFonts w:ascii="Arial" w:eastAsia="Times New Roman" w:hAnsi="Arial" w:cs="Arial"/>
                <w:lang w:eastAsia="en-GB"/>
              </w:rPr>
            </w:pPr>
            <w:r w:rsidRPr="002804C9">
              <w:rPr>
                <w:rFonts w:ascii="Arial" w:eastAsia="Times New Roman" w:hAnsi="Arial" w:cs="Arial"/>
                <w:lang w:eastAsia="en-GB"/>
              </w:rPr>
              <w:t>26-May-23</w:t>
            </w:r>
          </w:p>
        </w:tc>
      </w:tr>
      <w:tr w:rsidR="002804C9" w:rsidRPr="002804C9" w14:paraId="23D70FBB" w14:textId="77777777" w:rsidTr="002804C9">
        <w:trPr>
          <w:trHeight w:val="285"/>
        </w:trPr>
        <w:tc>
          <w:tcPr>
            <w:tcW w:w="3261" w:type="dxa"/>
            <w:tcBorders>
              <w:top w:val="nil"/>
              <w:left w:val="single" w:sz="4" w:space="0" w:color="auto"/>
              <w:bottom w:val="nil"/>
              <w:right w:val="nil"/>
            </w:tcBorders>
            <w:shd w:val="clear" w:color="auto" w:fill="auto"/>
            <w:noWrap/>
            <w:vAlign w:val="bottom"/>
            <w:hideMark/>
          </w:tcPr>
          <w:p w14:paraId="156E39C4" w14:textId="77777777" w:rsidR="002804C9" w:rsidRPr="002804C9" w:rsidRDefault="002804C9" w:rsidP="002804C9">
            <w:pPr>
              <w:spacing w:after="0" w:line="240" w:lineRule="auto"/>
              <w:rPr>
                <w:rFonts w:ascii="Arial" w:eastAsia="Times New Roman" w:hAnsi="Arial" w:cs="Arial"/>
                <w:color w:val="000000"/>
                <w:lang w:eastAsia="en-GB"/>
              </w:rPr>
            </w:pPr>
            <w:r w:rsidRPr="002804C9">
              <w:rPr>
                <w:rFonts w:ascii="Arial" w:eastAsia="Times New Roman" w:hAnsi="Arial" w:cs="Arial"/>
                <w:color w:val="000000"/>
                <w:lang w:eastAsia="en-GB"/>
              </w:rPr>
              <w:t>Uttlesford District Council</w:t>
            </w:r>
          </w:p>
        </w:tc>
        <w:tc>
          <w:tcPr>
            <w:tcW w:w="1117" w:type="dxa"/>
            <w:tcBorders>
              <w:top w:val="nil"/>
              <w:left w:val="nil"/>
              <w:bottom w:val="nil"/>
              <w:right w:val="nil"/>
            </w:tcBorders>
            <w:shd w:val="clear" w:color="auto" w:fill="auto"/>
            <w:noWrap/>
            <w:vAlign w:val="bottom"/>
            <w:hideMark/>
          </w:tcPr>
          <w:p w14:paraId="40AAD996" w14:textId="77777777" w:rsidR="002804C9" w:rsidRPr="002804C9" w:rsidRDefault="002804C9" w:rsidP="002804C9">
            <w:pPr>
              <w:spacing w:after="0" w:line="240" w:lineRule="auto"/>
              <w:jc w:val="center"/>
              <w:rPr>
                <w:rFonts w:ascii="Arial" w:eastAsia="Times New Roman" w:hAnsi="Arial" w:cs="Arial"/>
                <w:color w:val="000000"/>
                <w:lang w:eastAsia="en-GB"/>
              </w:rPr>
            </w:pPr>
            <w:r w:rsidRPr="002804C9">
              <w:rPr>
                <w:rFonts w:ascii="Arial" w:eastAsia="Times New Roman" w:hAnsi="Arial" w:cs="Arial"/>
                <w:color w:val="000000"/>
                <w:lang w:eastAsia="en-GB"/>
              </w:rPr>
              <w:t>Term</w:t>
            </w:r>
          </w:p>
        </w:tc>
        <w:tc>
          <w:tcPr>
            <w:tcW w:w="1047" w:type="dxa"/>
            <w:tcBorders>
              <w:top w:val="nil"/>
              <w:left w:val="nil"/>
              <w:bottom w:val="nil"/>
              <w:right w:val="nil"/>
            </w:tcBorders>
            <w:shd w:val="clear" w:color="auto" w:fill="auto"/>
            <w:noWrap/>
            <w:vAlign w:val="bottom"/>
            <w:hideMark/>
          </w:tcPr>
          <w:p w14:paraId="756A30F9" w14:textId="77777777" w:rsidR="002804C9" w:rsidRPr="002804C9" w:rsidRDefault="002804C9" w:rsidP="002804C9">
            <w:pPr>
              <w:spacing w:after="0" w:line="240" w:lineRule="auto"/>
              <w:jc w:val="right"/>
              <w:rPr>
                <w:rFonts w:ascii="Arial" w:eastAsia="Times New Roman" w:hAnsi="Arial" w:cs="Arial"/>
                <w:color w:val="000000"/>
                <w:lang w:eastAsia="en-GB"/>
              </w:rPr>
            </w:pPr>
            <w:r w:rsidRPr="002804C9">
              <w:rPr>
                <w:rFonts w:ascii="Arial" w:eastAsia="Times New Roman" w:hAnsi="Arial" w:cs="Arial"/>
                <w:color w:val="000000"/>
                <w:lang w:eastAsia="en-GB"/>
              </w:rPr>
              <w:t>3,000</w:t>
            </w:r>
          </w:p>
        </w:tc>
        <w:tc>
          <w:tcPr>
            <w:tcW w:w="954" w:type="dxa"/>
            <w:tcBorders>
              <w:top w:val="nil"/>
              <w:left w:val="nil"/>
              <w:bottom w:val="nil"/>
              <w:right w:val="nil"/>
            </w:tcBorders>
            <w:shd w:val="clear" w:color="auto" w:fill="auto"/>
            <w:noWrap/>
            <w:vAlign w:val="bottom"/>
            <w:hideMark/>
          </w:tcPr>
          <w:p w14:paraId="05E5A65D" w14:textId="77777777" w:rsidR="002804C9" w:rsidRPr="002804C9" w:rsidRDefault="002804C9" w:rsidP="002804C9">
            <w:pPr>
              <w:spacing w:after="0" w:line="240" w:lineRule="auto"/>
              <w:jc w:val="center"/>
              <w:rPr>
                <w:rFonts w:ascii="Arial" w:eastAsia="Times New Roman" w:hAnsi="Arial" w:cs="Arial"/>
                <w:color w:val="000000"/>
                <w:lang w:eastAsia="en-GB"/>
              </w:rPr>
            </w:pPr>
            <w:r w:rsidRPr="002804C9">
              <w:rPr>
                <w:rFonts w:ascii="Arial" w:eastAsia="Times New Roman" w:hAnsi="Arial" w:cs="Arial"/>
                <w:color w:val="000000"/>
                <w:lang w:eastAsia="en-GB"/>
              </w:rPr>
              <w:t>3.00%</w:t>
            </w:r>
          </w:p>
        </w:tc>
        <w:tc>
          <w:tcPr>
            <w:tcW w:w="1597" w:type="dxa"/>
            <w:tcBorders>
              <w:top w:val="nil"/>
              <w:left w:val="nil"/>
              <w:bottom w:val="nil"/>
              <w:right w:val="nil"/>
            </w:tcBorders>
            <w:shd w:val="clear" w:color="auto" w:fill="auto"/>
            <w:noWrap/>
            <w:vAlign w:val="bottom"/>
            <w:hideMark/>
          </w:tcPr>
          <w:p w14:paraId="562BF275" w14:textId="77777777" w:rsidR="002804C9" w:rsidRPr="002804C9" w:rsidRDefault="002804C9" w:rsidP="002804C9">
            <w:pPr>
              <w:spacing w:after="0" w:line="240" w:lineRule="auto"/>
              <w:jc w:val="center"/>
              <w:rPr>
                <w:rFonts w:ascii="Arial" w:eastAsia="Times New Roman" w:hAnsi="Arial" w:cs="Arial"/>
                <w:lang w:eastAsia="en-GB"/>
              </w:rPr>
            </w:pPr>
            <w:r w:rsidRPr="002804C9">
              <w:rPr>
                <w:rFonts w:ascii="Arial" w:eastAsia="Times New Roman" w:hAnsi="Arial" w:cs="Arial"/>
                <w:lang w:eastAsia="en-GB"/>
              </w:rPr>
              <w:t>13-Sep-22</w:t>
            </w:r>
          </w:p>
        </w:tc>
        <w:tc>
          <w:tcPr>
            <w:tcW w:w="1300" w:type="dxa"/>
            <w:tcBorders>
              <w:top w:val="nil"/>
              <w:left w:val="nil"/>
              <w:bottom w:val="nil"/>
              <w:right w:val="single" w:sz="4" w:space="0" w:color="auto"/>
            </w:tcBorders>
            <w:shd w:val="clear" w:color="auto" w:fill="auto"/>
            <w:noWrap/>
            <w:vAlign w:val="bottom"/>
            <w:hideMark/>
          </w:tcPr>
          <w:p w14:paraId="6F0166F1" w14:textId="77777777" w:rsidR="002804C9" w:rsidRPr="002804C9" w:rsidRDefault="002804C9" w:rsidP="002804C9">
            <w:pPr>
              <w:spacing w:after="0" w:line="240" w:lineRule="auto"/>
              <w:jc w:val="center"/>
              <w:rPr>
                <w:rFonts w:ascii="Arial" w:eastAsia="Times New Roman" w:hAnsi="Arial" w:cs="Arial"/>
                <w:lang w:eastAsia="en-GB"/>
              </w:rPr>
            </w:pPr>
            <w:r w:rsidRPr="002804C9">
              <w:rPr>
                <w:rFonts w:ascii="Arial" w:eastAsia="Times New Roman" w:hAnsi="Arial" w:cs="Arial"/>
                <w:lang w:eastAsia="en-GB"/>
              </w:rPr>
              <w:t>07-Sep-23</w:t>
            </w:r>
          </w:p>
        </w:tc>
      </w:tr>
      <w:tr w:rsidR="002804C9" w:rsidRPr="002804C9" w14:paraId="4CC57227" w14:textId="77777777" w:rsidTr="002804C9">
        <w:trPr>
          <w:trHeight w:val="285"/>
        </w:trPr>
        <w:tc>
          <w:tcPr>
            <w:tcW w:w="3261" w:type="dxa"/>
            <w:tcBorders>
              <w:top w:val="nil"/>
              <w:left w:val="single" w:sz="4" w:space="0" w:color="auto"/>
              <w:bottom w:val="nil"/>
              <w:right w:val="nil"/>
            </w:tcBorders>
            <w:shd w:val="clear" w:color="auto" w:fill="auto"/>
            <w:noWrap/>
            <w:vAlign w:val="bottom"/>
            <w:hideMark/>
          </w:tcPr>
          <w:p w14:paraId="0C834D3B" w14:textId="77777777" w:rsidR="002804C9" w:rsidRPr="002804C9" w:rsidRDefault="002804C9" w:rsidP="002804C9">
            <w:pPr>
              <w:spacing w:after="0" w:line="240" w:lineRule="auto"/>
              <w:rPr>
                <w:rFonts w:ascii="Arial" w:eastAsia="Times New Roman" w:hAnsi="Arial" w:cs="Arial"/>
                <w:color w:val="000000"/>
                <w:lang w:eastAsia="en-GB"/>
              </w:rPr>
            </w:pPr>
            <w:r w:rsidRPr="002804C9">
              <w:rPr>
                <w:rFonts w:ascii="Arial" w:eastAsia="Times New Roman" w:hAnsi="Arial" w:cs="Arial"/>
                <w:color w:val="000000"/>
                <w:lang w:eastAsia="en-GB"/>
              </w:rPr>
              <w:t>South Ayreshire Council</w:t>
            </w:r>
          </w:p>
        </w:tc>
        <w:tc>
          <w:tcPr>
            <w:tcW w:w="1117" w:type="dxa"/>
            <w:tcBorders>
              <w:top w:val="nil"/>
              <w:left w:val="nil"/>
              <w:bottom w:val="nil"/>
              <w:right w:val="nil"/>
            </w:tcBorders>
            <w:shd w:val="clear" w:color="auto" w:fill="auto"/>
            <w:noWrap/>
            <w:vAlign w:val="bottom"/>
            <w:hideMark/>
          </w:tcPr>
          <w:p w14:paraId="2436912C" w14:textId="77777777" w:rsidR="002804C9" w:rsidRPr="002804C9" w:rsidRDefault="002804C9" w:rsidP="002804C9">
            <w:pPr>
              <w:spacing w:after="0" w:line="240" w:lineRule="auto"/>
              <w:jc w:val="center"/>
              <w:rPr>
                <w:rFonts w:ascii="Arial" w:eastAsia="Times New Roman" w:hAnsi="Arial" w:cs="Arial"/>
                <w:color w:val="000000"/>
                <w:lang w:eastAsia="en-GB"/>
              </w:rPr>
            </w:pPr>
            <w:r w:rsidRPr="002804C9">
              <w:rPr>
                <w:rFonts w:ascii="Arial" w:eastAsia="Times New Roman" w:hAnsi="Arial" w:cs="Arial"/>
                <w:color w:val="000000"/>
                <w:lang w:eastAsia="en-GB"/>
              </w:rPr>
              <w:t>Term</w:t>
            </w:r>
          </w:p>
        </w:tc>
        <w:tc>
          <w:tcPr>
            <w:tcW w:w="1047" w:type="dxa"/>
            <w:tcBorders>
              <w:top w:val="nil"/>
              <w:left w:val="nil"/>
              <w:bottom w:val="nil"/>
              <w:right w:val="nil"/>
            </w:tcBorders>
            <w:shd w:val="clear" w:color="auto" w:fill="auto"/>
            <w:noWrap/>
            <w:vAlign w:val="bottom"/>
            <w:hideMark/>
          </w:tcPr>
          <w:p w14:paraId="5C6C1C6D" w14:textId="77777777" w:rsidR="002804C9" w:rsidRPr="002804C9" w:rsidRDefault="002804C9" w:rsidP="002804C9">
            <w:pPr>
              <w:spacing w:after="0" w:line="240" w:lineRule="auto"/>
              <w:jc w:val="right"/>
              <w:rPr>
                <w:rFonts w:ascii="Arial" w:eastAsia="Times New Roman" w:hAnsi="Arial" w:cs="Arial"/>
                <w:color w:val="000000"/>
                <w:lang w:eastAsia="en-GB"/>
              </w:rPr>
            </w:pPr>
            <w:r w:rsidRPr="002804C9">
              <w:rPr>
                <w:rFonts w:ascii="Arial" w:eastAsia="Times New Roman" w:hAnsi="Arial" w:cs="Arial"/>
                <w:color w:val="000000"/>
                <w:lang w:eastAsia="en-GB"/>
              </w:rPr>
              <w:t>5,000</w:t>
            </w:r>
          </w:p>
        </w:tc>
        <w:tc>
          <w:tcPr>
            <w:tcW w:w="954" w:type="dxa"/>
            <w:tcBorders>
              <w:top w:val="nil"/>
              <w:left w:val="nil"/>
              <w:bottom w:val="nil"/>
              <w:right w:val="nil"/>
            </w:tcBorders>
            <w:shd w:val="clear" w:color="auto" w:fill="auto"/>
            <w:noWrap/>
            <w:vAlign w:val="bottom"/>
            <w:hideMark/>
          </w:tcPr>
          <w:p w14:paraId="3A8B5A77" w14:textId="77777777" w:rsidR="002804C9" w:rsidRPr="002804C9" w:rsidRDefault="002804C9" w:rsidP="002804C9">
            <w:pPr>
              <w:spacing w:after="0" w:line="240" w:lineRule="auto"/>
              <w:jc w:val="center"/>
              <w:rPr>
                <w:rFonts w:ascii="Arial" w:eastAsia="Times New Roman" w:hAnsi="Arial" w:cs="Arial"/>
                <w:color w:val="000000"/>
                <w:lang w:eastAsia="en-GB"/>
              </w:rPr>
            </w:pPr>
            <w:r w:rsidRPr="002804C9">
              <w:rPr>
                <w:rFonts w:ascii="Arial" w:eastAsia="Times New Roman" w:hAnsi="Arial" w:cs="Arial"/>
                <w:color w:val="000000"/>
                <w:lang w:eastAsia="en-GB"/>
              </w:rPr>
              <w:t>3.00%</w:t>
            </w:r>
          </w:p>
        </w:tc>
        <w:tc>
          <w:tcPr>
            <w:tcW w:w="1597" w:type="dxa"/>
            <w:tcBorders>
              <w:top w:val="nil"/>
              <w:left w:val="nil"/>
              <w:bottom w:val="nil"/>
              <w:right w:val="nil"/>
            </w:tcBorders>
            <w:shd w:val="clear" w:color="auto" w:fill="auto"/>
            <w:noWrap/>
            <w:vAlign w:val="bottom"/>
            <w:hideMark/>
          </w:tcPr>
          <w:p w14:paraId="0F1A4B0B" w14:textId="77777777" w:rsidR="002804C9" w:rsidRPr="002804C9" w:rsidRDefault="002804C9" w:rsidP="002804C9">
            <w:pPr>
              <w:spacing w:after="0" w:line="240" w:lineRule="auto"/>
              <w:jc w:val="center"/>
              <w:rPr>
                <w:rFonts w:ascii="Arial" w:eastAsia="Times New Roman" w:hAnsi="Arial" w:cs="Arial"/>
                <w:lang w:eastAsia="en-GB"/>
              </w:rPr>
            </w:pPr>
            <w:r w:rsidRPr="002804C9">
              <w:rPr>
                <w:rFonts w:ascii="Arial" w:eastAsia="Times New Roman" w:hAnsi="Arial" w:cs="Arial"/>
                <w:lang w:eastAsia="en-GB"/>
              </w:rPr>
              <w:t>20-Sep-22</w:t>
            </w:r>
          </w:p>
        </w:tc>
        <w:tc>
          <w:tcPr>
            <w:tcW w:w="1300" w:type="dxa"/>
            <w:tcBorders>
              <w:top w:val="nil"/>
              <w:left w:val="nil"/>
              <w:bottom w:val="nil"/>
              <w:right w:val="single" w:sz="4" w:space="0" w:color="auto"/>
            </w:tcBorders>
            <w:shd w:val="clear" w:color="auto" w:fill="auto"/>
            <w:noWrap/>
            <w:vAlign w:val="bottom"/>
            <w:hideMark/>
          </w:tcPr>
          <w:p w14:paraId="7EBDA73B" w14:textId="77777777" w:rsidR="002804C9" w:rsidRPr="002804C9" w:rsidRDefault="002804C9" w:rsidP="002804C9">
            <w:pPr>
              <w:spacing w:after="0" w:line="240" w:lineRule="auto"/>
              <w:jc w:val="center"/>
              <w:rPr>
                <w:rFonts w:ascii="Arial" w:eastAsia="Times New Roman" w:hAnsi="Arial" w:cs="Arial"/>
                <w:lang w:eastAsia="en-GB"/>
              </w:rPr>
            </w:pPr>
            <w:r w:rsidRPr="002804C9">
              <w:rPr>
                <w:rFonts w:ascii="Arial" w:eastAsia="Times New Roman" w:hAnsi="Arial" w:cs="Arial"/>
                <w:lang w:eastAsia="en-GB"/>
              </w:rPr>
              <w:t>07-Sep-23</w:t>
            </w:r>
          </w:p>
        </w:tc>
      </w:tr>
      <w:tr w:rsidR="002804C9" w:rsidRPr="002804C9" w14:paraId="7F9056FF" w14:textId="77777777" w:rsidTr="002804C9">
        <w:trPr>
          <w:trHeight w:val="285"/>
        </w:trPr>
        <w:tc>
          <w:tcPr>
            <w:tcW w:w="3261" w:type="dxa"/>
            <w:tcBorders>
              <w:top w:val="nil"/>
              <w:left w:val="single" w:sz="4" w:space="0" w:color="auto"/>
              <w:bottom w:val="nil"/>
              <w:right w:val="nil"/>
            </w:tcBorders>
            <w:shd w:val="clear" w:color="auto" w:fill="auto"/>
            <w:noWrap/>
            <w:vAlign w:val="bottom"/>
            <w:hideMark/>
          </w:tcPr>
          <w:p w14:paraId="4DB9156A" w14:textId="77777777" w:rsidR="002804C9" w:rsidRPr="002804C9" w:rsidRDefault="002804C9" w:rsidP="002804C9">
            <w:pPr>
              <w:spacing w:after="0" w:line="240" w:lineRule="auto"/>
              <w:rPr>
                <w:rFonts w:ascii="Arial" w:eastAsia="Times New Roman" w:hAnsi="Arial" w:cs="Arial"/>
                <w:color w:val="000000"/>
                <w:lang w:eastAsia="en-GB"/>
              </w:rPr>
            </w:pPr>
            <w:r w:rsidRPr="002804C9">
              <w:rPr>
                <w:rFonts w:ascii="Arial" w:eastAsia="Times New Roman" w:hAnsi="Arial" w:cs="Arial"/>
                <w:color w:val="000000"/>
                <w:lang w:eastAsia="en-GB"/>
              </w:rPr>
              <w:t> </w:t>
            </w:r>
          </w:p>
        </w:tc>
        <w:tc>
          <w:tcPr>
            <w:tcW w:w="1117" w:type="dxa"/>
            <w:tcBorders>
              <w:top w:val="nil"/>
              <w:left w:val="nil"/>
              <w:bottom w:val="nil"/>
              <w:right w:val="nil"/>
            </w:tcBorders>
            <w:shd w:val="clear" w:color="auto" w:fill="auto"/>
            <w:noWrap/>
            <w:vAlign w:val="bottom"/>
            <w:hideMark/>
          </w:tcPr>
          <w:p w14:paraId="507755C7" w14:textId="77777777" w:rsidR="002804C9" w:rsidRPr="002804C9" w:rsidRDefault="002804C9" w:rsidP="002804C9">
            <w:pPr>
              <w:spacing w:after="0" w:line="240" w:lineRule="auto"/>
              <w:rPr>
                <w:rFonts w:ascii="Arial" w:eastAsia="Times New Roman" w:hAnsi="Arial" w:cs="Arial"/>
                <w:color w:val="000000"/>
                <w:lang w:eastAsia="en-GB"/>
              </w:rPr>
            </w:pPr>
          </w:p>
        </w:tc>
        <w:tc>
          <w:tcPr>
            <w:tcW w:w="1047" w:type="dxa"/>
            <w:tcBorders>
              <w:top w:val="nil"/>
              <w:left w:val="nil"/>
              <w:bottom w:val="nil"/>
              <w:right w:val="nil"/>
            </w:tcBorders>
            <w:shd w:val="clear" w:color="auto" w:fill="auto"/>
            <w:noWrap/>
            <w:vAlign w:val="bottom"/>
            <w:hideMark/>
          </w:tcPr>
          <w:p w14:paraId="0D229E12" w14:textId="77777777" w:rsidR="002804C9" w:rsidRPr="002804C9" w:rsidRDefault="002804C9" w:rsidP="002804C9">
            <w:pPr>
              <w:spacing w:after="0" w:line="240" w:lineRule="auto"/>
              <w:jc w:val="center"/>
              <w:rPr>
                <w:rFonts w:ascii="Times New Roman" w:eastAsia="Times New Roman" w:hAnsi="Times New Roman" w:cs="Times New Roman"/>
                <w:sz w:val="20"/>
                <w:szCs w:val="20"/>
                <w:lang w:eastAsia="en-GB"/>
              </w:rPr>
            </w:pPr>
          </w:p>
        </w:tc>
        <w:tc>
          <w:tcPr>
            <w:tcW w:w="954" w:type="dxa"/>
            <w:tcBorders>
              <w:top w:val="nil"/>
              <w:left w:val="nil"/>
              <w:bottom w:val="nil"/>
              <w:right w:val="nil"/>
            </w:tcBorders>
            <w:shd w:val="clear" w:color="auto" w:fill="auto"/>
            <w:noWrap/>
            <w:vAlign w:val="bottom"/>
            <w:hideMark/>
          </w:tcPr>
          <w:p w14:paraId="0416C5CD" w14:textId="77777777" w:rsidR="002804C9" w:rsidRPr="002804C9" w:rsidRDefault="002804C9" w:rsidP="002804C9">
            <w:pPr>
              <w:spacing w:after="0" w:line="240" w:lineRule="auto"/>
              <w:jc w:val="right"/>
              <w:rPr>
                <w:rFonts w:ascii="Times New Roman" w:eastAsia="Times New Roman" w:hAnsi="Times New Roman" w:cs="Times New Roman"/>
                <w:sz w:val="20"/>
                <w:szCs w:val="20"/>
                <w:lang w:eastAsia="en-GB"/>
              </w:rPr>
            </w:pPr>
          </w:p>
        </w:tc>
        <w:tc>
          <w:tcPr>
            <w:tcW w:w="1597" w:type="dxa"/>
            <w:tcBorders>
              <w:top w:val="nil"/>
              <w:left w:val="nil"/>
              <w:bottom w:val="nil"/>
              <w:right w:val="nil"/>
            </w:tcBorders>
            <w:shd w:val="clear" w:color="auto" w:fill="auto"/>
            <w:noWrap/>
            <w:vAlign w:val="bottom"/>
            <w:hideMark/>
          </w:tcPr>
          <w:p w14:paraId="78AEF1DB" w14:textId="77777777" w:rsidR="002804C9" w:rsidRPr="002804C9" w:rsidRDefault="002804C9" w:rsidP="002804C9">
            <w:pPr>
              <w:spacing w:after="0" w:line="240" w:lineRule="auto"/>
              <w:jc w:val="center"/>
              <w:rPr>
                <w:rFonts w:ascii="Times New Roman" w:eastAsia="Times New Roman" w:hAnsi="Times New Roman" w:cs="Times New Roman"/>
                <w:sz w:val="20"/>
                <w:szCs w:val="20"/>
                <w:lang w:eastAsia="en-GB"/>
              </w:rPr>
            </w:pPr>
          </w:p>
        </w:tc>
        <w:tc>
          <w:tcPr>
            <w:tcW w:w="1300" w:type="dxa"/>
            <w:tcBorders>
              <w:top w:val="nil"/>
              <w:left w:val="nil"/>
              <w:bottom w:val="nil"/>
              <w:right w:val="single" w:sz="4" w:space="0" w:color="auto"/>
            </w:tcBorders>
            <w:shd w:val="clear" w:color="auto" w:fill="auto"/>
            <w:noWrap/>
            <w:vAlign w:val="bottom"/>
            <w:hideMark/>
          </w:tcPr>
          <w:p w14:paraId="6A815B16" w14:textId="77777777" w:rsidR="002804C9" w:rsidRPr="002804C9" w:rsidRDefault="002804C9" w:rsidP="002804C9">
            <w:pPr>
              <w:spacing w:after="0" w:line="240" w:lineRule="auto"/>
              <w:rPr>
                <w:rFonts w:ascii="Arial" w:eastAsia="Times New Roman" w:hAnsi="Arial" w:cs="Arial"/>
                <w:lang w:eastAsia="en-GB"/>
              </w:rPr>
            </w:pPr>
            <w:r w:rsidRPr="002804C9">
              <w:rPr>
                <w:rFonts w:ascii="Arial" w:eastAsia="Times New Roman" w:hAnsi="Arial" w:cs="Arial"/>
                <w:lang w:eastAsia="en-GB"/>
              </w:rPr>
              <w:t> </w:t>
            </w:r>
          </w:p>
        </w:tc>
      </w:tr>
      <w:tr w:rsidR="002804C9" w:rsidRPr="002804C9" w14:paraId="5734D7AE" w14:textId="77777777" w:rsidTr="002804C9">
        <w:trPr>
          <w:trHeight w:val="300"/>
        </w:trPr>
        <w:tc>
          <w:tcPr>
            <w:tcW w:w="3261" w:type="dxa"/>
            <w:tcBorders>
              <w:top w:val="nil"/>
              <w:left w:val="single" w:sz="4" w:space="0" w:color="auto"/>
              <w:bottom w:val="nil"/>
              <w:right w:val="nil"/>
            </w:tcBorders>
            <w:shd w:val="clear" w:color="auto" w:fill="auto"/>
            <w:noWrap/>
            <w:vAlign w:val="bottom"/>
            <w:hideMark/>
          </w:tcPr>
          <w:p w14:paraId="5F666614" w14:textId="77777777" w:rsidR="002804C9" w:rsidRPr="002804C9" w:rsidRDefault="002804C9" w:rsidP="002804C9">
            <w:pPr>
              <w:spacing w:after="0" w:line="240" w:lineRule="auto"/>
              <w:rPr>
                <w:rFonts w:ascii="Arial" w:eastAsia="Times New Roman" w:hAnsi="Arial" w:cs="Arial"/>
                <w:b/>
                <w:bCs/>
                <w:color w:val="000000"/>
                <w:lang w:eastAsia="en-GB"/>
              </w:rPr>
            </w:pPr>
            <w:r w:rsidRPr="002804C9">
              <w:rPr>
                <w:rFonts w:ascii="Arial" w:eastAsia="Times New Roman" w:hAnsi="Arial" w:cs="Arial"/>
                <w:b/>
                <w:bCs/>
                <w:color w:val="000000"/>
                <w:lang w:eastAsia="en-GB"/>
              </w:rPr>
              <w:t>Fixed Term Deposit sub total</w:t>
            </w:r>
          </w:p>
        </w:tc>
        <w:tc>
          <w:tcPr>
            <w:tcW w:w="1117" w:type="dxa"/>
            <w:tcBorders>
              <w:top w:val="nil"/>
              <w:left w:val="nil"/>
              <w:bottom w:val="nil"/>
              <w:right w:val="nil"/>
            </w:tcBorders>
            <w:shd w:val="clear" w:color="auto" w:fill="auto"/>
            <w:noWrap/>
            <w:vAlign w:val="bottom"/>
            <w:hideMark/>
          </w:tcPr>
          <w:p w14:paraId="7666E767" w14:textId="77777777" w:rsidR="002804C9" w:rsidRPr="002804C9" w:rsidRDefault="002804C9" w:rsidP="002804C9">
            <w:pPr>
              <w:spacing w:after="0" w:line="240" w:lineRule="auto"/>
              <w:rPr>
                <w:rFonts w:ascii="Arial" w:eastAsia="Times New Roman" w:hAnsi="Arial" w:cs="Arial"/>
                <w:b/>
                <w:bCs/>
                <w:color w:val="000000"/>
                <w:lang w:eastAsia="en-GB"/>
              </w:rPr>
            </w:pPr>
          </w:p>
        </w:tc>
        <w:tc>
          <w:tcPr>
            <w:tcW w:w="1047" w:type="dxa"/>
            <w:tcBorders>
              <w:top w:val="single" w:sz="4" w:space="0" w:color="auto"/>
              <w:left w:val="nil"/>
              <w:bottom w:val="nil"/>
              <w:right w:val="nil"/>
            </w:tcBorders>
            <w:shd w:val="clear" w:color="auto" w:fill="auto"/>
            <w:noWrap/>
            <w:vAlign w:val="bottom"/>
            <w:hideMark/>
          </w:tcPr>
          <w:p w14:paraId="64C847F6" w14:textId="77777777" w:rsidR="002804C9" w:rsidRPr="002804C9" w:rsidRDefault="002804C9" w:rsidP="002804C9">
            <w:pPr>
              <w:spacing w:after="0" w:line="240" w:lineRule="auto"/>
              <w:jc w:val="right"/>
              <w:rPr>
                <w:rFonts w:ascii="Arial" w:eastAsia="Times New Roman" w:hAnsi="Arial" w:cs="Arial"/>
                <w:b/>
                <w:bCs/>
                <w:color w:val="000000"/>
                <w:lang w:eastAsia="en-GB"/>
              </w:rPr>
            </w:pPr>
            <w:r w:rsidRPr="002804C9">
              <w:rPr>
                <w:rFonts w:ascii="Arial" w:eastAsia="Times New Roman" w:hAnsi="Arial" w:cs="Arial"/>
                <w:b/>
                <w:bCs/>
                <w:color w:val="000000"/>
                <w:lang w:eastAsia="en-GB"/>
              </w:rPr>
              <w:t>21,000</w:t>
            </w:r>
          </w:p>
        </w:tc>
        <w:tc>
          <w:tcPr>
            <w:tcW w:w="3851" w:type="dxa"/>
            <w:gridSpan w:val="3"/>
            <w:tcBorders>
              <w:top w:val="nil"/>
              <w:left w:val="nil"/>
              <w:bottom w:val="nil"/>
              <w:right w:val="single" w:sz="4" w:space="0" w:color="000000"/>
            </w:tcBorders>
            <w:shd w:val="clear" w:color="auto" w:fill="auto"/>
            <w:noWrap/>
            <w:vAlign w:val="bottom"/>
            <w:hideMark/>
          </w:tcPr>
          <w:p w14:paraId="727D97C8" w14:textId="77777777" w:rsidR="002804C9" w:rsidRPr="002804C9" w:rsidRDefault="002804C9" w:rsidP="002804C9">
            <w:pPr>
              <w:spacing w:after="0" w:line="240" w:lineRule="auto"/>
              <w:rPr>
                <w:rFonts w:ascii="Arial" w:eastAsia="Times New Roman" w:hAnsi="Arial" w:cs="Arial"/>
                <w:b/>
                <w:bCs/>
                <w:color w:val="000000"/>
                <w:lang w:eastAsia="en-GB"/>
              </w:rPr>
            </w:pPr>
            <w:r w:rsidRPr="002804C9">
              <w:rPr>
                <w:rFonts w:ascii="Arial" w:eastAsia="Times New Roman" w:hAnsi="Arial" w:cs="Arial"/>
                <w:b/>
                <w:bCs/>
                <w:color w:val="000000"/>
                <w:lang w:eastAsia="en-GB"/>
              </w:rPr>
              <w:t>Listed in Order of Maturity</w:t>
            </w:r>
          </w:p>
        </w:tc>
      </w:tr>
      <w:tr w:rsidR="002804C9" w:rsidRPr="002804C9" w14:paraId="62F245B5" w14:textId="77777777" w:rsidTr="002804C9">
        <w:trPr>
          <w:trHeight w:val="300"/>
        </w:trPr>
        <w:tc>
          <w:tcPr>
            <w:tcW w:w="3261" w:type="dxa"/>
            <w:tcBorders>
              <w:top w:val="nil"/>
              <w:left w:val="single" w:sz="4" w:space="0" w:color="auto"/>
              <w:bottom w:val="nil"/>
              <w:right w:val="nil"/>
            </w:tcBorders>
            <w:shd w:val="clear" w:color="auto" w:fill="auto"/>
            <w:noWrap/>
            <w:vAlign w:val="bottom"/>
            <w:hideMark/>
          </w:tcPr>
          <w:p w14:paraId="21430A26" w14:textId="77777777" w:rsidR="002804C9" w:rsidRPr="002804C9" w:rsidRDefault="002804C9" w:rsidP="002804C9">
            <w:pPr>
              <w:spacing w:after="0" w:line="240" w:lineRule="auto"/>
              <w:rPr>
                <w:rFonts w:ascii="Arial" w:eastAsia="Times New Roman" w:hAnsi="Arial" w:cs="Arial"/>
                <w:b/>
                <w:bCs/>
                <w:color w:val="000000"/>
                <w:lang w:eastAsia="en-GB"/>
              </w:rPr>
            </w:pPr>
            <w:r w:rsidRPr="002804C9">
              <w:rPr>
                <w:rFonts w:ascii="Arial" w:eastAsia="Times New Roman" w:hAnsi="Arial" w:cs="Arial"/>
                <w:b/>
                <w:bCs/>
                <w:color w:val="000000"/>
                <w:lang w:eastAsia="en-GB"/>
              </w:rPr>
              <w:t> </w:t>
            </w:r>
          </w:p>
        </w:tc>
        <w:tc>
          <w:tcPr>
            <w:tcW w:w="1117" w:type="dxa"/>
            <w:tcBorders>
              <w:top w:val="nil"/>
              <w:left w:val="nil"/>
              <w:bottom w:val="nil"/>
              <w:right w:val="nil"/>
            </w:tcBorders>
            <w:shd w:val="clear" w:color="auto" w:fill="auto"/>
            <w:noWrap/>
            <w:vAlign w:val="bottom"/>
            <w:hideMark/>
          </w:tcPr>
          <w:p w14:paraId="23E928C7" w14:textId="77777777" w:rsidR="002804C9" w:rsidRPr="002804C9" w:rsidRDefault="002804C9" w:rsidP="002804C9">
            <w:pPr>
              <w:spacing w:after="0" w:line="240" w:lineRule="auto"/>
              <w:rPr>
                <w:rFonts w:ascii="Arial" w:eastAsia="Times New Roman" w:hAnsi="Arial" w:cs="Arial"/>
                <w:b/>
                <w:bCs/>
                <w:color w:val="000000"/>
                <w:lang w:eastAsia="en-GB"/>
              </w:rPr>
            </w:pPr>
          </w:p>
        </w:tc>
        <w:tc>
          <w:tcPr>
            <w:tcW w:w="1047" w:type="dxa"/>
            <w:tcBorders>
              <w:top w:val="nil"/>
              <w:left w:val="nil"/>
              <w:bottom w:val="nil"/>
              <w:right w:val="nil"/>
            </w:tcBorders>
            <w:shd w:val="clear" w:color="auto" w:fill="auto"/>
            <w:noWrap/>
            <w:vAlign w:val="bottom"/>
            <w:hideMark/>
          </w:tcPr>
          <w:p w14:paraId="42CE0D05" w14:textId="77777777" w:rsidR="002804C9" w:rsidRPr="002804C9" w:rsidRDefault="002804C9" w:rsidP="002804C9">
            <w:pPr>
              <w:spacing w:after="0" w:line="240" w:lineRule="auto"/>
              <w:jc w:val="center"/>
              <w:rPr>
                <w:rFonts w:ascii="Times New Roman" w:eastAsia="Times New Roman" w:hAnsi="Times New Roman" w:cs="Times New Roman"/>
                <w:sz w:val="20"/>
                <w:szCs w:val="20"/>
                <w:lang w:eastAsia="en-GB"/>
              </w:rPr>
            </w:pPr>
          </w:p>
        </w:tc>
        <w:tc>
          <w:tcPr>
            <w:tcW w:w="954" w:type="dxa"/>
            <w:tcBorders>
              <w:top w:val="nil"/>
              <w:left w:val="nil"/>
              <w:bottom w:val="nil"/>
              <w:right w:val="nil"/>
            </w:tcBorders>
            <w:shd w:val="clear" w:color="auto" w:fill="auto"/>
            <w:noWrap/>
            <w:vAlign w:val="bottom"/>
            <w:hideMark/>
          </w:tcPr>
          <w:p w14:paraId="75D65187" w14:textId="77777777" w:rsidR="002804C9" w:rsidRPr="002804C9" w:rsidRDefault="002804C9" w:rsidP="002804C9">
            <w:pPr>
              <w:spacing w:after="0" w:line="240" w:lineRule="auto"/>
              <w:jc w:val="right"/>
              <w:rPr>
                <w:rFonts w:ascii="Times New Roman" w:eastAsia="Times New Roman" w:hAnsi="Times New Roman" w:cs="Times New Roman"/>
                <w:sz w:val="20"/>
                <w:szCs w:val="20"/>
                <w:lang w:eastAsia="en-GB"/>
              </w:rPr>
            </w:pPr>
          </w:p>
        </w:tc>
        <w:tc>
          <w:tcPr>
            <w:tcW w:w="1597" w:type="dxa"/>
            <w:tcBorders>
              <w:top w:val="nil"/>
              <w:left w:val="nil"/>
              <w:bottom w:val="nil"/>
              <w:right w:val="nil"/>
            </w:tcBorders>
            <w:shd w:val="clear" w:color="auto" w:fill="auto"/>
            <w:noWrap/>
            <w:vAlign w:val="bottom"/>
            <w:hideMark/>
          </w:tcPr>
          <w:p w14:paraId="3A02AAA5" w14:textId="77777777" w:rsidR="002804C9" w:rsidRPr="002804C9" w:rsidRDefault="002804C9" w:rsidP="002804C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single" w:sz="4" w:space="0" w:color="auto"/>
            </w:tcBorders>
            <w:shd w:val="clear" w:color="auto" w:fill="auto"/>
            <w:noWrap/>
            <w:vAlign w:val="bottom"/>
            <w:hideMark/>
          </w:tcPr>
          <w:p w14:paraId="13594680" w14:textId="77777777" w:rsidR="002804C9" w:rsidRPr="002804C9" w:rsidRDefault="002804C9" w:rsidP="002804C9">
            <w:pPr>
              <w:spacing w:after="0" w:line="240" w:lineRule="auto"/>
              <w:rPr>
                <w:rFonts w:ascii="Arial" w:eastAsia="Times New Roman" w:hAnsi="Arial" w:cs="Arial"/>
                <w:lang w:eastAsia="en-GB"/>
              </w:rPr>
            </w:pPr>
            <w:r w:rsidRPr="002804C9">
              <w:rPr>
                <w:rFonts w:ascii="Arial" w:eastAsia="Times New Roman" w:hAnsi="Arial" w:cs="Arial"/>
                <w:lang w:eastAsia="en-GB"/>
              </w:rPr>
              <w:t> </w:t>
            </w:r>
          </w:p>
        </w:tc>
      </w:tr>
      <w:tr w:rsidR="002804C9" w:rsidRPr="002804C9" w14:paraId="0BAE128C" w14:textId="77777777" w:rsidTr="002804C9">
        <w:trPr>
          <w:trHeight w:val="285"/>
        </w:trPr>
        <w:tc>
          <w:tcPr>
            <w:tcW w:w="3261" w:type="dxa"/>
            <w:tcBorders>
              <w:top w:val="nil"/>
              <w:left w:val="single" w:sz="4" w:space="0" w:color="auto"/>
              <w:bottom w:val="nil"/>
              <w:right w:val="nil"/>
            </w:tcBorders>
            <w:shd w:val="clear" w:color="auto" w:fill="auto"/>
            <w:noWrap/>
            <w:vAlign w:val="bottom"/>
            <w:hideMark/>
          </w:tcPr>
          <w:p w14:paraId="03692D37" w14:textId="77777777" w:rsidR="002804C9" w:rsidRPr="002804C9" w:rsidRDefault="002804C9" w:rsidP="002804C9">
            <w:pPr>
              <w:spacing w:after="0" w:line="240" w:lineRule="auto"/>
              <w:rPr>
                <w:rFonts w:ascii="Arial" w:eastAsia="Times New Roman" w:hAnsi="Arial" w:cs="Arial"/>
                <w:color w:val="000000"/>
                <w:lang w:eastAsia="en-GB"/>
              </w:rPr>
            </w:pPr>
            <w:r w:rsidRPr="002804C9">
              <w:rPr>
                <w:rFonts w:ascii="Arial" w:eastAsia="Times New Roman" w:hAnsi="Arial" w:cs="Arial"/>
                <w:color w:val="000000"/>
                <w:lang w:eastAsia="en-GB"/>
              </w:rPr>
              <w:t>Santander UK PLC</w:t>
            </w:r>
          </w:p>
        </w:tc>
        <w:tc>
          <w:tcPr>
            <w:tcW w:w="1117" w:type="dxa"/>
            <w:tcBorders>
              <w:top w:val="nil"/>
              <w:left w:val="nil"/>
              <w:bottom w:val="nil"/>
              <w:right w:val="nil"/>
            </w:tcBorders>
            <w:shd w:val="clear" w:color="auto" w:fill="auto"/>
            <w:noWrap/>
            <w:vAlign w:val="bottom"/>
            <w:hideMark/>
          </w:tcPr>
          <w:p w14:paraId="74F83F24" w14:textId="77777777" w:rsidR="002804C9" w:rsidRPr="002804C9" w:rsidRDefault="002804C9" w:rsidP="002804C9">
            <w:pPr>
              <w:spacing w:after="0" w:line="240" w:lineRule="auto"/>
              <w:jc w:val="center"/>
              <w:rPr>
                <w:rFonts w:ascii="Arial" w:eastAsia="Times New Roman" w:hAnsi="Arial" w:cs="Arial"/>
                <w:color w:val="000000"/>
                <w:lang w:eastAsia="en-GB"/>
              </w:rPr>
            </w:pPr>
            <w:r w:rsidRPr="002804C9">
              <w:rPr>
                <w:rFonts w:ascii="Arial" w:eastAsia="Times New Roman" w:hAnsi="Arial" w:cs="Arial"/>
                <w:color w:val="000000"/>
                <w:lang w:eastAsia="en-GB"/>
              </w:rPr>
              <w:t>180 Day</w:t>
            </w:r>
          </w:p>
        </w:tc>
        <w:tc>
          <w:tcPr>
            <w:tcW w:w="1047" w:type="dxa"/>
            <w:tcBorders>
              <w:top w:val="nil"/>
              <w:left w:val="nil"/>
              <w:bottom w:val="nil"/>
              <w:right w:val="nil"/>
            </w:tcBorders>
            <w:shd w:val="clear" w:color="auto" w:fill="auto"/>
            <w:noWrap/>
            <w:vAlign w:val="bottom"/>
            <w:hideMark/>
          </w:tcPr>
          <w:p w14:paraId="729B2FB4" w14:textId="77777777" w:rsidR="002804C9" w:rsidRPr="002804C9" w:rsidRDefault="002804C9" w:rsidP="002804C9">
            <w:pPr>
              <w:spacing w:after="0" w:line="240" w:lineRule="auto"/>
              <w:jc w:val="right"/>
              <w:rPr>
                <w:rFonts w:ascii="Arial" w:eastAsia="Times New Roman" w:hAnsi="Arial" w:cs="Arial"/>
                <w:color w:val="000000"/>
                <w:lang w:eastAsia="en-GB"/>
              </w:rPr>
            </w:pPr>
            <w:r w:rsidRPr="002804C9">
              <w:rPr>
                <w:rFonts w:ascii="Arial" w:eastAsia="Times New Roman" w:hAnsi="Arial" w:cs="Arial"/>
                <w:color w:val="000000"/>
                <w:lang w:eastAsia="en-GB"/>
              </w:rPr>
              <w:t>6,000</w:t>
            </w:r>
          </w:p>
        </w:tc>
        <w:tc>
          <w:tcPr>
            <w:tcW w:w="954" w:type="dxa"/>
            <w:tcBorders>
              <w:top w:val="nil"/>
              <w:left w:val="nil"/>
              <w:bottom w:val="nil"/>
              <w:right w:val="nil"/>
            </w:tcBorders>
            <w:shd w:val="clear" w:color="auto" w:fill="auto"/>
            <w:noWrap/>
            <w:vAlign w:val="bottom"/>
            <w:hideMark/>
          </w:tcPr>
          <w:p w14:paraId="4681EE52" w14:textId="77777777" w:rsidR="002804C9" w:rsidRPr="002804C9" w:rsidRDefault="002804C9" w:rsidP="002804C9">
            <w:pPr>
              <w:spacing w:after="0" w:line="240" w:lineRule="auto"/>
              <w:jc w:val="center"/>
              <w:rPr>
                <w:rFonts w:ascii="Arial" w:eastAsia="Times New Roman" w:hAnsi="Arial" w:cs="Arial"/>
                <w:color w:val="000000"/>
                <w:lang w:eastAsia="en-GB"/>
              </w:rPr>
            </w:pPr>
            <w:r w:rsidRPr="002804C9">
              <w:rPr>
                <w:rFonts w:ascii="Arial" w:eastAsia="Times New Roman" w:hAnsi="Arial" w:cs="Arial"/>
                <w:color w:val="000000"/>
                <w:lang w:eastAsia="en-GB"/>
              </w:rPr>
              <w:t>0.40%</w:t>
            </w:r>
          </w:p>
        </w:tc>
        <w:tc>
          <w:tcPr>
            <w:tcW w:w="1597" w:type="dxa"/>
            <w:tcBorders>
              <w:top w:val="nil"/>
              <w:left w:val="nil"/>
              <w:bottom w:val="nil"/>
              <w:right w:val="nil"/>
            </w:tcBorders>
            <w:shd w:val="clear" w:color="auto" w:fill="auto"/>
            <w:noWrap/>
            <w:vAlign w:val="bottom"/>
            <w:hideMark/>
          </w:tcPr>
          <w:p w14:paraId="01A0A938" w14:textId="77777777" w:rsidR="002804C9" w:rsidRPr="002804C9" w:rsidRDefault="002804C9" w:rsidP="002804C9">
            <w:pPr>
              <w:spacing w:after="0" w:line="240" w:lineRule="auto"/>
              <w:jc w:val="center"/>
              <w:rPr>
                <w:rFonts w:ascii="Arial" w:eastAsia="Times New Roman" w:hAnsi="Arial" w:cs="Arial"/>
                <w:lang w:eastAsia="en-GB"/>
              </w:rPr>
            </w:pPr>
            <w:r w:rsidRPr="002804C9">
              <w:rPr>
                <w:rFonts w:ascii="Arial" w:eastAsia="Times New Roman" w:hAnsi="Arial" w:cs="Arial"/>
                <w:lang w:eastAsia="en-GB"/>
              </w:rPr>
              <w:t>15-Mar-16</w:t>
            </w:r>
          </w:p>
        </w:tc>
        <w:tc>
          <w:tcPr>
            <w:tcW w:w="1300" w:type="dxa"/>
            <w:tcBorders>
              <w:top w:val="nil"/>
              <w:left w:val="nil"/>
              <w:bottom w:val="nil"/>
              <w:right w:val="single" w:sz="4" w:space="0" w:color="auto"/>
            </w:tcBorders>
            <w:shd w:val="clear" w:color="auto" w:fill="auto"/>
            <w:noWrap/>
            <w:vAlign w:val="bottom"/>
            <w:hideMark/>
          </w:tcPr>
          <w:p w14:paraId="0B886C44" w14:textId="77777777" w:rsidR="002804C9" w:rsidRPr="002804C9" w:rsidRDefault="002804C9" w:rsidP="002804C9">
            <w:pPr>
              <w:spacing w:after="0" w:line="240" w:lineRule="auto"/>
              <w:jc w:val="center"/>
              <w:rPr>
                <w:rFonts w:ascii="Arial" w:eastAsia="Times New Roman" w:hAnsi="Arial" w:cs="Arial"/>
                <w:color w:val="000000"/>
                <w:lang w:eastAsia="en-GB"/>
              </w:rPr>
            </w:pPr>
            <w:r w:rsidRPr="002804C9">
              <w:rPr>
                <w:rFonts w:ascii="Arial" w:eastAsia="Times New Roman" w:hAnsi="Arial" w:cs="Arial"/>
                <w:color w:val="000000"/>
                <w:lang w:eastAsia="en-GB"/>
              </w:rPr>
              <w:t>n/a</w:t>
            </w:r>
          </w:p>
        </w:tc>
      </w:tr>
      <w:tr w:rsidR="002804C9" w:rsidRPr="002804C9" w14:paraId="6FF34AE2" w14:textId="77777777" w:rsidTr="002804C9">
        <w:trPr>
          <w:trHeight w:val="285"/>
        </w:trPr>
        <w:tc>
          <w:tcPr>
            <w:tcW w:w="3261" w:type="dxa"/>
            <w:tcBorders>
              <w:top w:val="nil"/>
              <w:left w:val="single" w:sz="4" w:space="0" w:color="auto"/>
              <w:bottom w:val="nil"/>
              <w:right w:val="nil"/>
            </w:tcBorders>
            <w:shd w:val="clear" w:color="auto" w:fill="auto"/>
            <w:noWrap/>
            <w:vAlign w:val="bottom"/>
            <w:hideMark/>
          </w:tcPr>
          <w:p w14:paraId="300A396C" w14:textId="77777777" w:rsidR="002804C9" w:rsidRPr="002804C9" w:rsidRDefault="002804C9" w:rsidP="002804C9">
            <w:pPr>
              <w:spacing w:after="0" w:line="240" w:lineRule="auto"/>
              <w:rPr>
                <w:rFonts w:ascii="Arial" w:eastAsia="Times New Roman" w:hAnsi="Arial" w:cs="Arial"/>
                <w:color w:val="000000"/>
                <w:lang w:eastAsia="en-GB"/>
              </w:rPr>
            </w:pPr>
            <w:r w:rsidRPr="002804C9">
              <w:rPr>
                <w:rFonts w:ascii="Arial" w:eastAsia="Times New Roman" w:hAnsi="Arial" w:cs="Arial"/>
                <w:color w:val="000000"/>
                <w:lang w:eastAsia="en-GB"/>
              </w:rPr>
              <w:t>Bank of Scotland</w:t>
            </w:r>
          </w:p>
        </w:tc>
        <w:tc>
          <w:tcPr>
            <w:tcW w:w="1117" w:type="dxa"/>
            <w:tcBorders>
              <w:top w:val="nil"/>
              <w:left w:val="nil"/>
              <w:bottom w:val="nil"/>
              <w:right w:val="nil"/>
            </w:tcBorders>
            <w:shd w:val="clear" w:color="auto" w:fill="auto"/>
            <w:noWrap/>
            <w:vAlign w:val="bottom"/>
            <w:hideMark/>
          </w:tcPr>
          <w:p w14:paraId="1349BB0B" w14:textId="77777777" w:rsidR="002804C9" w:rsidRPr="002804C9" w:rsidRDefault="002804C9" w:rsidP="002804C9">
            <w:pPr>
              <w:spacing w:after="0" w:line="240" w:lineRule="auto"/>
              <w:jc w:val="center"/>
              <w:rPr>
                <w:rFonts w:ascii="Arial" w:eastAsia="Times New Roman" w:hAnsi="Arial" w:cs="Arial"/>
                <w:color w:val="000000"/>
                <w:lang w:eastAsia="en-GB"/>
              </w:rPr>
            </w:pPr>
            <w:r w:rsidRPr="002804C9">
              <w:rPr>
                <w:rFonts w:ascii="Arial" w:eastAsia="Times New Roman" w:hAnsi="Arial" w:cs="Arial"/>
                <w:color w:val="000000"/>
                <w:lang w:eastAsia="en-GB"/>
              </w:rPr>
              <w:t>175 Day</w:t>
            </w:r>
          </w:p>
        </w:tc>
        <w:tc>
          <w:tcPr>
            <w:tcW w:w="1047" w:type="dxa"/>
            <w:tcBorders>
              <w:top w:val="nil"/>
              <w:left w:val="nil"/>
              <w:bottom w:val="nil"/>
              <w:right w:val="nil"/>
            </w:tcBorders>
            <w:shd w:val="clear" w:color="auto" w:fill="auto"/>
            <w:noWrap/>
            <w:vAlign w:val="bottom"/>
            <w:hideMark/>
          </w:tcPr>
          <w:p w14:paraId="0E9945D1" w14:textId="77777777" w:rsidR="002804C9" w:rsidRPr="002804C9" w:rsidRDefault="002804C9" w:rsidP="002804C9">
            <w:pPr>
              <w:spacing w:after="0" w:line="240" w:lineRule="auto"/>
              <w:jc w:val="right"/>
              <w:rPr>
                <w:rFonts w:ascii="Arial" w:eastAsia="Times New Roman" w:hAnsi="Arial" w:cs="Arial"/>
                <w:color w:val="000000"/>
                <w:lang w:eastAsia="en-GB"/>
              </w:rPr>
            </w:pPr>
            <w:r w:rsidRPr="002804C9">
              <w:rPr>
                <w:rFonts w:ascii="Arial" w:eastAsia="Times New Roman" w:hAnsi="Arial" w:cs="Arial"/>
                <w:color w:val="000000"/>
                <w:lang w:eastAsia="en-GB"/>
              </w:rPr>
              <w:t>6,000</w:t>
            </w:r>
          </w:p>
        </w:tc>
        <w:tc>
          <w:tcPr>
            <w:tcW w:w="954" w:type="dxa"/>
            <w:tcBorders>
              <w:top w:val="nil"/>
              <w:left w:val="nil"/>
              <w:bottom w:val="nil"/>
              <w:right w:val="nil"/>
            </w:tcBorders>
            <w:shd w:val="clear" w:color="auto" w:fill="auto"/>
            <w:noWrap/>
            <w:vAlign w:val="bottom"/>
            <w:hideMark/>
          </w:tcPr>
          <w:p w14:paraId="29181039" w14:textId="77777777" w:rsidR="002804C9" w:rsidRPr="002804C9" w:rsidRDefault="002804C9" w:rsidP="002804C9">
            <w:pPr>
              <w:spacing w:after="0" w:line="240" w:lineRule="auto"/>
              <w:jc w:val="center"/>
              <w:rPr>
                <w:rFonts w:ascii="Arial" w:eastAsia="Times New Roman" w:hAnsi="Arial" w:cs="Arial"/>
                <w:color w:val="000000"/>
                <w:lang w:eastAsia="en-GB"/>
              </w:rPr>
            </w:pPr>
            <w:r w:rsidRPr="002804C9">
              <w:rPr>
                <w:rFonts w:ascii="Arial" w:eastAsia="Times New Roman" w:hAnsi="Arial" w:cs="Arial"/>
                <w:color w:val="000000"/>
                <w:lang w:eastAsia="en-GB"/>
              </w:rPr>
              <w:t>1.01%</w:t>
            </w:r>
          </w:p>
        </w:tc>
        <w:tc>
          <w:tcPr>
            <w:tcW w:w="1597" w:type="dxa"/>
            <w:tcBorders>
              <w:top w:val="nil"/>
              <w:left w:val="nil"/>
              <w:bottom w:val="nil"/>
              <w:right w:val="nil"/>
            </w:tcBorders>
            <w:shd w:val="clear" w:color="auto" w:fill="auto"/>
            <w:noWrap/>
            <w:vAlign w:val="bottom"/>
            <w:hideMark/>
          </w:tcPr>
          <w:p w14:paraId="1B3319C3" w14:textId="77777777" w:rsidR="002804C9" w:rsidRPr="002804C9" w:rsidRDefault="002804C9" w:rsidP="002804C9">
            <w:pPr>
              <w:spacing w:after="0" w:line="240" w:lineRule="auto"/>
              <w:jc w:val="center"/>
              <w:rPr>
                <w:rFonts w:ascii="Arial" w:eastAsia="Times New Roman" w:hAnsi="Arial" w:cs="Arial"/>
                <w:lang w:eastAsia="en-GB"/>
              </w:rPr>
            </w:pPr>
            <w:r w:rsidRPr="002804C9">
              <w:rPr>
                <w:rFonts w:ascii="Arial" w:eastAsia="Times New Roman" w:hAnsi="Arial" w:cs="Arial"/>
                <w:lang w:eastAsia="en-GB"/>
              </w:rPr>
              <w:t>30-Nov-17</w:t>
            </w:r>
          </w:p>
        </w:tc>
        <w:tc>
          <w:tcPr>
            <w:tcW w:w="1300" w:type="dxa"/>
            <w:tcBorders>
              <w:top w:val="nil"/>
              <w:left w:val="nil"/>
              <w:bottom w:val="nil"/>
              <w:right w:val="single" w:sz="4" w:space="0" w:color="auto"/>
            </w:tcBorders>
            <w:shd w:val="clear" w:color="auto" w:fill="auto"/>
            <w:noWrap/>
            <w:vAlign w:val="bottom"/>
            <w:hideMark/>
          </w:tcPr>
          <w:p w14:paraId="12700EC5" w14:textId="77777777" w:rsidR="002804C9" w:rsidRPr="002804C9" w:rsidRDefault="002804C9" w:rsidP="002804C9">
            <w:pPr>
              <w:spacing w:after="0" w:line="240" w:lineRule="auto"/>
              <w:jc w:val="center"/>
              <w:rPr>
                <w:rFonts w:ascii="Arial" w:eastAsia="Times New Roman" w:hAnsi="Arial" w:cs="Arial"/>
                <w:lang w:eastAsia="en-GB"/>
              </w:rPr>
            </w:pPr>
            <w:r w:rsidRPr="002804C9">
              <w:rPr>
                <w:rFonts w:ascii="Arial" w:eastAsia="Times New Roman" w:hAnsi="Arial" w:cs="Arial"/>
                <w:lang w:eastAsia="en-GB"/>
              </w:rPr>
              <w:t>28-Dec-22</w:t>
            </w:r>
          </w:p>
        </w:tc>
      </w:tr>
      <w:tr w:rsidR="002804C9" w:rsidRPr="002804C9" w14:paraId="4D7D756F" w14:textId="77777777" w:rsidTr="002804C9">
        <w:trPr>
          <w:trHeight w:val="285"/>
        </w:trPr>
        <w:tc>
          <w:tcPr>
            <w:tcW w:w="3261" w:type="dxa"/>
            <w:tcBorders>
              <w:top w:val="nil"/>
              <w:left w:val="single" w:sz="4" w:space="0" w:color="auto"/>
              <w:bottom w:val="nil"/>
              <w:right w:val="nil"/>
            </w:tcBorders>
            <w:shd w:val="clear" w:color="auto" w:fill="auto"/>
            <w:noWrap/>
            <w:vAlign w:val="bottom"/>
            <w:hideMark/>
          </w:tcPr>
          <w:p w14:paraId="638CA1D8" w14:textId="77777777" w:rsidR="002804C9" w:rsidRPr="002804C9" w:rsidRDefault="002804C9" w:rsidP="002804C9">
            <w:pPr>
              <w:spacing w:after="0" w:line="240" w:lineRule="auto"/>
              <w:rPr>
                <w:rFonts w:ascii="Arial" w:eastAsia="Times New Roman" w:hAnsi="Arial" w:cs="Arial"/>
                <w:color w:val="000000"/>
                <w:lang w:eastAsia="en-GB"/>
              </w:rPr>
            </w:pPr>
            <w:r w:rsidRPr="002804C9">
              <w:rPr>
                <w:rFonts w:ascii="Arial" w:eastAsia="Times New Roman" w:hAnsi="Arial" w:cs="Arial"/>
                <w:color w:val="000000"/>
                <w:lang w:eastAsia="en-GB"/>
              </w:rPr>
              <w:t> </w:t>
            </w:r>
          </w:p>
        </w:tc>
        <w:tc>
          <w:tcPr>
            <w:tcW w:w="1117" w:type="dxa"/>
            <w:tcBorders>
              <w:top w:val="nil"/>
              <w:left w:val="nil"/>
              <w:bottom w:val="nil"/>
              <w:right w:val="nil"/>
            </w:tcBorders>
            <w:shd w:val="clear" w:color="auto" w:fill="auto"/>
            <w:noWrap/>
            <w:vAlign w:val="bottom"/>
            <w:hideMark/>
          </w:tcPr>
          <w:p w14:paraId="2529C6B1" w14:textId="77777777" w:rsidR="002804C9" w:rsidRPr="002804C9" w:rsidRDefault="002804C9" w:rsidP="002804C9">
            <w:pPr>
              <w:spacing w:after="0" w:line="240" w:lineRule="auto"/>
              <w:rPr>
                <w:rFonts w:ascii="Arial" w:eastAsia="Times New Roman" w:hAnsi="Arial" w:cs="Arial"/>
                <w:color w:val="000000"/>
                <w:lang w:eastAsia="en-GB"/>
              </w:rPr>
            </w:pPr>
          </w:p>
        </w:tc>
        <w:tc>
          <w:tcPr>
            <w:tcW w:w="1047" w:type="dxa"/>
            <w:tcBorders>
              <w:top w:val="nil"/>
              <w:left w:val="nil"/>
              <w:bottom w:val="nil"/>
              <w:right w:val="nil"/>
            </w:tcBorders>
            <w:shd w:val="clear" w:color="auto" w:fill="auto"/>
            <w:noWrap/>
            <w:vAlign w:val="bottom"/>
            <w:hideMark/>
          </w:tcPr>
          <w:p w14:paraId="4EB84B5E" w14:textId="77777777" w:rsidR="002804C9" w:rsidRPr="002804C9" w:rsidRDefault="002804C9" w:rsidP="002804C9">
            <w:pPr>
              <w:spacing w:after="0" w:line="240" w:lineRule="auto"/>
              <w:jc w:val="center"/>
              <w:rPr>
                <w:rFonts w:ascii="Times New Roman" w:eastAsia="Times New Roman" w:hAnsi="Times New Roman" w:cs="Times New Roman"/>
                <w:sz w:val="20"/>
                <w:szCs w:val="20"/>
                <w:lang w:eastAsia="en-GB"/>
              </w:rPr>
            </w:pPr>
          </w:p>
        </w:tc>
        <w:tc>
          <w:tcPr>
            <w:tcW w:w="954" w:type="dxa"/>
            <w:tcBorders>
              <w:top w:val="nil"/>
              <w:left w:val="nil"/>
              <w:bottom w:val="nil"/>
              <w:right w:val="nil"/>
            </w:tcBorders>
            <w:shd w:val="clear" w:color="auto" w:fill="auto"/>
            <w:noWrap/>
            <w:vAlign w:val="bottom"/>
            <w:hideMark/>
          </w:tcPr>
          <w:p w14:paraId="0F30318A" w14:textId="77777777" w:rsidR="002804C9" w:rsidRPr="002804C9" w:rsidRDefault="002804C9" w:rsidP="002804C9">
            <w:pPr>
              <w:spacing w:after="0" w:line="240" w:lineRule="auto"/>
              <w:jc w:val="right"/>
              <w:rPr>
                <w:rFonts w:ascii="Times New Roman" w:eastAsia="Times New Roman" w:hAnsi="Times New Roman" w:cs="Times New Roman"/>
                <w:sz w:val="20"/>
                <w:szCs w:val="20"/>
                <w:lang w:eastAsia="en-GB"/>
              </w:rPr>
            </w:pPr>
          </w:p>
        </w:tc>
        <w:tc>
          <w:tcPr>
            <w:tcW w:w="1597" w:type="dxa"/>
            <w:tcBorders>
              <w:top w:val="nil"/>
              <w:left w:val="nil"/>
              <w:bottom w:val="nil"/>
              <w:right w:val="nil"/>
            </w:tcBorders>
            <w:shd w:val="clear" w:color="auto" w:fill="auto"/>
            <w:noWrap/>
            <w:vAlign w:val="bottom"/>
            <w:hideMark/>
          </w:tcPr>
          <w:p w14:paraId="46E92D2F" w14:textId="77777777" w:rsidR="002804C9" w:rsidRPr="002804C9" w:rsidRDefault="002804C9" w:rsidP="002804C9">
            <w:pPr>
              <w:spacing w:after="0" w:line="240" w:lineRule="auto"/>
              <w:jc w:val="center"/>
              <w:rPr>
                <w:rFonts w:ascii="Times New Roman" w:eastAsia="Times New Roman" w:hAnsi="Times New Roman" w:cs="Times New Roman"/>
                <w:sz w:val="20"/>
                <w:szCs w:val="20"/>
                <w:lang w:eastAsia="en-GB"/>
              </w:rPr>
            </w:pPr>
          </w:p>
        </w:tc>
        <w:tc>
          <w:tcPr>
            <w:tcW w:w="1300" w:type="dxa"/>
            <w:tcBorders>
              <w:top w:val="nil"/>
              <w:left w:val="nil"/>
              <w:bottom w:val="nil"/>
              <w:right w:val="single" w:sz="4" w:space="0" w:color="auto"/>
            </w:tcBorders>
            <w:shd w:val="clear" w:color="auto" w:fill="auto"/>
            <w:noWrap/>
            <w:vAlign w:val="bottom"/>
            <w:hideMark/>
          </w:tcPr>
          <w:p w14:paraId="7A774ACC" w14:textId="77777777" w:rsidR="002804C9" w:rsidRPr="002804C9" w:rsidRDefault="002804C9" w:rsidP="002804C9">
            <w:pPr>
              <w:spacing w:after="0" w:line="240" w:lineRule="auto"/>
              <w:jc w:val="center"/>
              <w:rPr>
                <w:rFonts w:ascii="Arial" w:eastAsia="Times New Roman" w:hAnsi="Arial" w:cs="Arial"/>
                <w:color w:val="000000"/>
                <w:lang w:eastAsia="en-GB"/>
              </w:rPr>
            </w:pPr>
            <w:r w:rsidRPr="002804C9">
              <w:rPr>
                <w:rFonts w:ascii="Arial" w:eastAsia="Times New Roman" w:hAnsi="Arial" w:cs="Arial"/>
                <w:color w:val="000000"/>
                <w:lang w:eastAsia="en-GB"/>
              </w:rPr>
              <w:t> </w:t>
            </w:r>
          </w:p>
        </w:tc>
      </w:tr>
      <w:tr w:rsidR="002804C9" w:rsidRPr="002804C9" w14:paraId="4036E9FF" w14:textId="77777777" w:rsidTr="002804C9">
        <w:trPr>
          <w:trHeight w:val="300"/>
        </w:trPr>
        <w:tc>
          <w:tcPr>
            <w:tcW w:w="3261" w:type="dxa"/>
            <w:tcBorders>
              <w:top w:val="nil"/>
              <w:left w:val="single" w:sz="4" w:space="0" w:color="auto"/>
              <w:bottom w:val="nil"/>
              <w:right w:val="nil"/>
            </w:tcBorders>
            <w:shd w:val="clear" w:color="auto" w:fill="auto"/>
            <w:noWrap/>
            <w:vAlign w:val="bottom"/>
            <w:hideMark/>
          </w:tcPr>
          <w:p w14:paraId="610F10F1" w14:textId="77777777" w:rsidR="002804C9" w:rsidRPr="002804C9" w:rsidRDefault="002804C9" w:rsidP="002804C9">
            <w:pPr>
              <w:spacing w:after="0" w:line="240" w:lineRule="auto"/>
              <w:rPr>
                <w:rFonts w:ascii="Arial" w:eastAsia="Times New Roman" w:hAnsi="Arial" w:cs="Arial"/>
                <w:b/>
                <w:bCs/>
                <w:color w:val="000000"/>
                <w:lang w:eastAsia="en-GB"/>
              </w:rPr>
            </w:pPr>
            <w:r w:rsidRPr="002804C9">
              <w:rPr>
                <w:rFonts w:ascii="Arial" w:eastAsia="Times New Roman" w:hAnsi="Arial" w:cs="Arial"/>
                <w:b/>
                <w:bCs/>
                <w:color w:val="000000"/>
                <w:lang w:eastAsia="en-GB"/>
              </w:rPr>
              <w:t xml:space="preserve">Notice Accounts sub total </w:t>
            </w:r>
          </w:p>
        </w:tc>
        <w:tc>
          <w:tcPr>
            <w:tcW w:w="1117" w:type="dxa"/>
            <w:tcBorders>
              <w:top w:val="nil"/>
              <w:left w:val="nil"/>
              <w:bottom w:val="nil"/>
              <w:right w:val="nil"/>
            </w:tcBorders>
            <w:shd w:val="clear" w:color="auto" w:fill="auto"/>
            <w:noWrap/>
            <w:vAlign w:val="bottom"/>
            <w:hideMark/>
          </w:tcPr>
          <w:p w14:paraId="1A09E3CA" w14:textId="77777777" w:rsidR="002804C9" w:rsidRPr="002804C9" w:rsidRDefault="002804C9" w:rsidP="002804C9">
            <w:pPr>
              <w:spacing w:after="0" w:line="240" w:lineRule="auto"/>
              <w:rPr>
                <w:rFonts w:ascii="Arial" w:eastAsia="Times New Roman" w:hAnsi="Arial" w:cs="Arial"/>
                <w:b/>
                <w:bCs/>
                <w:color w:val="000000"/>
                <w:lang w:eastAsia="en-GB"/>
              </w:rPr>
            </w:pPr>
          </w:p>
        </w:tc>
        <w:tc>
          <w:tcPr>
            <w:tcW w:w="1047" w:type="dxa"/>
            <w:tcBorders>
              <w:top w:val="single" w:sz="4" w:space="0" w:color="auto"/>
              <w:left w:val="nil"/>
              <w:bottom w:val="nil"/>
              <w:right w:val="nil"/>
            </w:tcBorders>
            <w:shd w:val="clear" w:color="auto" w:fill="auto"/>
            <w:noWrap/>
            <w:vAlign w:val="bottom"/>
            <w:hideMark/>
          </w:tcPr>
          <w:p w14:paraId="087487FD" w14:textId="77777777" w:rsidR="002804C9" w:rsidRPr="002804C9" w:rsidRDefault="002804C9" w:rsidP="002804C9">
            <w:pPr>
              <w:spacing w:after="0" w:line="240" w:lineRule="auto"/>
              <w:jc w:val="right"/>
              <w:rPr>
                <w:rFonts w:ascii="Arial" w:eastAsia="Times New Roman" w:hAnsi="Arial" w:cs="Arial"/>
                <w:b/>
                <w:bCs/>
                <w:color w:val="000000"/>
                <w:lang w:eastAsia="en-GB"/>
              </w:rPr>
            </w:pPr>
            <w:r w:rsidRPr="002804C9">
              <w:rPr>
                <w:rFonts w:ascii="Arial" w:eastAsia="Times New Roman" w:hAnsi="Arial" w:cs="Arial"/>
                <w:b/>
                <w:bCs/>
                <w:color w:val="000000"/>
                <w:lang w:eastAsia="en-GB"/>
              </w:rPr>
              <w:t>12,000</w:t>
            </w:r>
          </w:p>
        </w:tc>
        <w:tc>
          <w:tcPr>
            <w:tcW w:w="954" w:type="dxa"/>
            <w:tcBorders>
              <w:top w:val="nil"/>
              <w:left w:val="nil"/>
              <w:bottom w:val="nil"/>
              <w:right w:val="nil"/>
            </w:tcBorders>
            <w:shd w:val="clear" w:color="auto" w:fill="auto"/>
            <w:noWrap/>
            <w:vAlign w:val="bottom"/>
            <w:hideMark/>
          </w:tcPr>
          <w:p w14:paraId="7991B2F3" w14:textId="77777777" w:rsidR="002804C9" w:rsidRPr="002804C9" w:rsidRDefault="002804C9" w:rsidP="002804C9">
            <w:pPr>
              <w:spacing w:after="0" w:line="240" w:lineRule="auto"/>
              <w:jc w:val="right"/>
              <w:rPr>
                <w:rFonts w:ascii="Arial" w:eastAsia="Times New Roman" w:hAnsi="Arial" w:cs="Arial"/>
                <w:b/>
                <w:bCs/>
                <w:color w:val="000000"/>
                <w:lang w:eastAsia="en-GB"/>
              </w:rPr>
            </w:pPr>
          </w:p>
        </w:tc>
        <w:tc>
          <w:tcPr>
            <w:tcW w:w="1597" w:type="dxa"/>
            <w:tcBorders>
              <w:top w:val="nil"/>
              <w:left w:val="nil"/>
              <w:bottom w:val="nil"/>
              <w:right w:val="nil"/>
            </w:tcBorders>
            <w:shd w:val="clear" w:color="auto" w:fill="auto"/>
            <w:noWrap/>
            <w:vAlign w:val="bottom"/>
            <w:hideMark/>
          </w:tcPr>
          <w:p w14:paraId="658AFD66" w14:textId="77777777" w:rsidR="002804C9" w:rsidRPr="002804C9" w:rsidRDefault="002804C9" w:rsidP="002804C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single" w:sz="4" w:space="0" w:color="auto"/>
            </w:tcBorders>
            <w:shd w:val="clear" w:color="auto" w:fill="auto"/>
            <w:noWrap/>
            <w:vAlign w:val="bottom"/>
            <w:hideMark/>
          </w:tcPr>
          <w:p w14:paraId="20282C44" w14:textId="77777777" w:rsidR="002804C9" w:rsidRPr="002804C9" w:rsidRDefault="002804C9" w:rsidP="002804C9">
            <w:pPr>
              <w:spacing w:after="0" w:line="240" w:lineRule="auto"/>
              <w:jc w:val="center"/>
              <w:rPr>
                <w:rFonts w:ascii="Arial" w:eastAsia="Times New Roman" w:hAnsi="Arial" w:cs="Arial"/>
                <w:lang w:eastAsia="en-GB"/>
              </w:rPr>
            </w:pPr>
            <w:r w:rsidRPr="002804C9">
              <w:rPr>
                <w:rFonts w:ascii="Arial" w:eastAsia="Times New Roman" w:hAnsi="Arial" w:cs="Arial"/>
                <w:lang w:eastAsia="en-GB"/>
              </w:rPr>
              <w:t> </w:t>
            </w:r>
          </w:p>
        </w:tc>
      </w:tr>
      <w:tr w:rsidR="002804C9" w:rsidRPr="002804C9" w14:paraId="6BA71FF9" w14:textId="77777777" w:rsidTr="002804C9">
        <w:trPr>
          <w:trHeight w:val="285"/>
        </w:trPr>
        <w:tc>
          <w:tcPr>
            <w:tcW w:w="3261" w:type="dxa"/>
            <w:tcBorders>
              <w:top w:val="nil"/>
              <w:left w:val="single" w:sz="4" w:space="0" w:color="auto"/>
              <w:bottom w:val="nil"/>
              <w:right w:val="nil"/>
            </w:tcBorders>
            <w:shd w:val="clear" w:color="auto" w:fill="auto"/>
            <w:noWrap/>
            <w:vAlign w:val="bottom"/>
            <w:hideMark/>
          </w:tcPr>
          <w:p w14:paraId="15BBA572" w14:textId="77777777" w:rsidR="002804C9" w:rsidRPr="002804C9" w:rsidRDefault="002804C9" w:rsidP="002804C9">
            <w:pPr>
              <w:spacing w:after="0" w:line="240" w:lineRule="auto"/>
              <w:rPr>
                <w:rFonts w:ascii="Arial" w:eastAsia="Times New Roman" w:hAnsi="Arial" w:cs="Arial"/>
                <w:color w:val="000000"/>
                <w:lang w:eastAsia="en-GB"/>
              </w:rPr>
            </w:pPr>
            <w:r w:rsidRPr="002804C9">
              <w:rPr>
                <w:rFonts w:ascii="Arial" w:eastAsia="Times New Roman" w:hAnsi="Arial" w:cs="Arial"/>
                <w:color w:val="000000"/>
                <w:lang w:eastAsia="en-GB"/>
              </w:rPr>
              <w:t> </w:t>
            </w:r>
          </w:p>
        </w:tc>
        <w:tc>
          <w:tcPr>
            <w:tcW w:w="1117" w:type="dxa"/>
            <w:tcBorders>
              <w:top w:val="nil"/>
              <w:left w:val="nil"/>
              <w:bottom w:val="nil"/>
              <w:right w:val="nil"/>
            </w:tcBorders>
            <w:shd w:val="clear" w:color="auto" w:fill="auto"/>
            <w:noWrap/>
            <w:vAlign w:val="bottom"/>
            <w:hideMark/>
          </w:tcPr>
          <w:p w14:paraId="5AC6B6AB" w14:textId="77777777" w:rsidR="002804C9" w:rsidRPr="002804C9" w:rsidRDefault="002804C9" w:rsidP="002804C9">
            <w:pPr>
              <w:spacing w:after="0" w:line="240" w:lineRule="auto"/>
              <w:rPr>
                <w:rFonts w:ascii="Arial" w:eastAsia="Times New Roman" w:hAnsi="Arial" w:cs="Arial"/>
                <w:color w:val="000000"/>
                <w:lang w:eastAsia="en-GB"/>
              </w:rPr>
            </w:pPr>
          </w:p>
        </w:tc>
        <w:tc>
          <w:tcPr>
            <w:tcW w:w="1047" w:type="dxa"/>
            <w:tcBorders>
              <w:top w:val="nil"/>
              <w:left w:val="nil"/>
              <w:bottom w:val="nil"/>
              <w:right w:val="nil"/>
            </w:tcBorders>
            <w:shd w:val="clear" w:color="auto" w:fill="auto"/>
            <w:noWrap/>
            <w:vAlign w:val="bottom"/>
            <w:hideMark/>
          </w:tcPr>
          <w:p w14:paraId="145A9710" w14:textId="77777777" w:rsidR="002804C9" w:rsidRPr="002804C9" w:rsidRDefault="002804C9" w:rsidP="002804C9">
            <w:pPr>
              <w:spacing w:after="0" w:line="240" w:lineRule="auto"/>
              <w:jc w:val="center"/>
              <w:rPr>
                <w:rFonts w:ascii="Times New Roman" w:eastAsia="Times New Roman" w:hAnsi="Times New Roman" w:cs="Times New Roman"/>
                <w:sz w:val="20"/>
                <w:szCs w:val="20"/>
                <w:lang w:eastAsia="en-GB"/>
              </w:rPr>
            </w:pPr>
          </w:p>
        </w:tc>
        <w:tc>
          <w:tcPr>
            <w:tcW w:w="954" w:type="dxa"/>
            <w:tcBorders>
              <w:top w:val="nil"/>
              <w:left w:val="nil"/>
              <w:bottom w:val="nil"/>
              <w:right w:val="nil"/>
            </w:tcBorders>
            <w:shd w:val="clear" w:color="auto" w:fill="auto"/>
            <w:noWrap/>
            <w:vAlign w:val="bottom"/>
            <w:hideMark/>
          </w:tcPr>
          <w:p w14:paraId="72620B97" w14:textId="77777777" w:rsidR="002804C9" w:rsidRPr="002804C9" w:rsidRDefault="002804C9" w:rsidP="002804C9">
            <w:pPr>
              <w:spacing w:after="0" w:line="240" w:lineRule="auto"/>
              <w:jc w:val="right"/>
              <w:rPr>
                <w:rFonts w:ascii="Times New Roman" w:eastAsia="Times New Roman" w:hAnsi="Times New Roman" w:cs="Times New Roman"/>
                <w:sz w:val="20"/>
                <w:szCs w:val="20"/>
                <w:lang w:eastAsia="en-GB"/>
              </w:rPr>
            </w:pPr>
          </w:p>
        </w:tc>
        <w:tc>
          <w:tcPr>
            <w:tcW w:w="1597" w:type="dxa"/>
            <w:tcBorders>
              <w:top w:val="nil"/>
              <w:left w:val="nil"/>
              <w:bottom w:val="nil"/>
              <w:right w:val="nil"/>
            </w:tcBorders>
            <w:shd w:val="clear" w:color="auto" w:fill="auto"/>
            <w:noWrap/>
            <w:vAlign w:val="bottom"/>
            <w:hideMark/>
          </w:tcPr>
          <w:p w14:paraId="36638456" w14:textId="77777777" w:rsidR="002804C9" w:rsidRPr="002804C9" w:rsidRDefault="002804C9" w:rsidP="002804C9">
            <w:pPr>
              <w:spacing w:after="0" w:line="240" w:lineRule="auto"/>
              <w:jc w:val="center"/>
              <w:rPr>
                <w:rFonts w:ascii="Times New Roman" w:eastAsia="Times New Roman" w:hAnsi="Times New Roman" w:cs="Times New Roman"/>
                <w:sz w:val="20"/>
                <w:szCs w:val="20"/>
                <w:lang w:eastAsia="en-GB"/>
              </w:rPr>
            </w:pPr>
          </w:p>
        </w:tc>
        <w:tc>
          <w:tcPr>
            <w:tcW w:w="1300" w:type="dxa"/>
            <w:tcBorders>
              <w:top w:val="nil"/>
              <w:left w:val="nil"/>
              <w:bottom w:val="nil"/>
              <w:right w:val="single" w:sz="4" w:space="0" w:color="auto"/>
            </w:tcBorders>
            <w:shd w:val="clear" w:color="auto" w:fill="auto"/>
            <w:noWrap/>
            <w:vAlign w:val="bottom"/>
            <w:hideMark/>
          </w:tcPr>
          <w:p w14:paraId="22D8A10C" w14:textId="77777777" w:rsidR="002804C9" w:rsidRPr="002804C9" w:rsidRDefault="002804C9" w:rsidP="002804C9">
            <w:pPr>
              <w:spacing w:after="0" w:line="240" w:lineRule="auto"/>
              <w:jc w:val="center"/>
              <w:rPr>
                <w:rFonts w:ascii="Arial" w:eastAsia="Times New Roman" w:hAnsi="Arial" w:cs="Arial"/>
                <w:color w:val="000000"/>
                <w:lang w:eastAsia="en-GB"/>
              </w:rPr>
            </w:pPr>
            <w:r w:rsidRPr="002804C9">
              <w:rPr>
                <w:rFonts w:ascii="Arial" w:eastAsia="Times New Roman" w:hAnsi="Arial" w:cs="Arial"/>
                <w:color w:val="000000"/>
                <w:lang w:eastAsia="en-GB"/>
              </w:rPr>
              <w:t> </w:t>
            </w:r>
          </w:p>
        </w:tc>
      </w:tr>
      <w:tr w:rsidR="002804C9" w:rsidRPr="002804C9" w14:paraId="3A5FA549" w14:textId="77777777" w:rsidTr="002804C9">
        <w:trPr>
          <w:trHeight w:val="285"/>
        </w:trPr>
        <w:tc>
          <w:tcPr>
            <w:tcW w:w="3261" w:type="dxa"/>
            <w:tcBorders>
              <w:top w:val="nil"/>
              <w:left w:val="single" w:sz="4" w:space="0" w:color="auto"/>
              <w:bottom w:val="nil"/>
              <w:right w:val="nil"/>
            </w:tcBorders>
            <w:shd w:val="clear" w:color="auto" w:fill="auto"/>
            <w:noWrap/>
            <w:vAlign w:val="bottom"/>
            <w:hideMark/>
          </w:tcPr>
          <w:p w14:paraId="058292C4" w14:textId="77777777" w:rsidR="002804C9" w:rsidRPr="002804C9" w:rsidRDefault="002804C9" w:rsidP="002804C9">
            <w:pPr>
              <w:spacing w:after="0" w:line="240" w:lineRule="auto"/>
              <w:rPr>
                <w:rFonts w:ascii="Arial" w:eastAsia="Times New Roman" w:hAnsi="Arial" w:cs="Arial"/>
                <w:color w:val="000000"/>
                <w:lang w:eastAsia="en-GB"/>
              </w:rPr>
            </w:pPr>
            <w:r w:rsidRPr="002804C9">
              <w:rPr>
                <w:rFonts w:ascii="Arial" w:eastAsia="Times New Roman" w:hAnsi="Arial" w:cs="Arial"/>
                <w:color w:val="000000"/>
                <w:lang w:eastAsia="en-GB"/>
              </w:rPr>
              <w:t>Barclays BPA Deposit Account</w:t>
            </w:r>
          </w:p>
        </w:tc>
        <w:tc>
          <w:tcPr>
            <w:tcW w:w="1117" w:type="dxa"/>
            <w:tcBorders>
              <w:top w:val="nil"/>
              <w:left w:val="nil"/>
              <w:bottom w:val="nil"/>
              <w:right w:val="nil"/>
            </w:tcBorders>
            <w:shd w:val="clear" w:color="auto" w:fill="auto"/>
            <w:noWrap/>
            <w:vAlign w:val="bottom"/>
            <w:hideMark/>
          </w:tcPr>
          <w:p w14:paraId="7D450DB1" w14:textId="77777777" w:rsidR="002804C9" w:rsidRPr="002804C9" w:rsidRDefault="002804C9" w:rsidP="002804C9">
            <w:pPr>
              <w:spacing w:after="0" w:line="240" w:lineRule="auto"/>
              <w:jc w:val="center"/>
              <w:rPr>
                <w:rFonts w:ascii="Arial" w:eastAsia="Times New Roman" w:hAnsi="Arial" w:cs="Arial"/>
                <w:color w:val="000000"/>
                <w:lang w:eastAsia="en-GB"/>
              </w:rPr>
            </w:pPr>
            <w:r w:rsidRPr="002804C9">
              <w:rPr>
                <w:rFonts w:ascii="Arial" w:eastAsia="Times New Roman" w:hAnsi="Arial" w:cs="Arial"/>
                <w:color w:val="000000"/>
                <w:lang w:eastAsia="en-GB"/>
              </w:rPr>
              <w:t>Call</w:t>
            </w:r>
          </w:p>
        </w:tc>
        <w:tc>
          <w:tcPr>
            <w:tcW w:w="1047" w:type="dxa"/>
            <w:tcBorders>
              <w:top w:val="nil"/>
              <w:left w:val="nil"/>
              <w:bottom w:val="nil"/>
              <w:right w:val="nil"/>
            </w:tcBorders>
            <w:shd w:val="clear" w:color="auto" w:fill="auto"/>
            <w:noWrap/>
            <w:vAlign w:val="bottom"/>
            <w:hideMark/>
          </w:tcPr>
          <w:p w14:paraId="5D2B2ABF" w14:textId="77777777" w:rsidR="002804C9" w:rsidRPr="002804C9" w:rsidRDefault="002804C9" w:rsidP="002804C9">
            <w:pPr>
              <w:spacing w:after="0" w:line="240" w:lineRule="auto"/>
              <w:jc w:val="right"/>
              <w:rPr>
                <w:rFonts w:ascii="Arial" w:eastAsia="Times New Roman" w:hAnsi="Arial" w:cs="Arial"/>
                <w:color w:val="000000"/>
                <w:lang w:eastAsia="en-GB"/>
              </w:rPr>
            </w:pPr>
            <w:r w:rsidRPr="002804C9">
              <w:rPr>
                <w:rFonts w:ascii="Arial" w:eastAsia="Times New Roman" w:hAnsi="Arial" w:cs="Arial"/>
                <w:color w:val="000000"/>
                <w:lang w:eastAsia="en-GB"/>
              </w:rPr>
              <w:t>6,000</w:t>
            </w:r>
          </w:p>
        </w:tc>
        <w:tc>
          <w:tcPr>
            <w:tcW w:w="954" w:type="dxa"/>
            <w:tcBorders>
              <w:top w:val="nil"/>
              <w:left w:val="nil"/>
              <w:bottom w:val="nil"/>
              <w:right w:val="nil"/>
            </w:tcBorders>
            <w:shd w:val="clear" w:color="auto" w:fill="auto"/>
            <w:noWrap/>
            <w:vAlign w:val="bottom"/>
            <w:hideMark/>
          </w:tcPr>
          <w:p w14:paraId="5C13CD82" w14:textId="77777777" w:rsidR="002804C9" w:rsidRPr="002804C9" w:rsidRDefault="002804C9" w:rsidP="002804C9">
            <w:pPr>
              <w:spacing w:after="0" w:line="240" w:lineRule="auto"/>
              <w:jc w:val="center"/>
              <w:rPr>
                <w:rFonts w:ascii="Arial" w:eastAsia="Times New Roman" w:hAnsi="Arial" w:cs="Arial"/>
                <w:color w:val="000000"/>
                <w:lang w:eastAsia="en-GB"/>
              </w:rPr>
            </w:pPr>
            <w:r w:rsidRPr="002804C9">
              <w:rPr>
                <w:rFonts w:ascii="Arial" w:eastAsia="Times New Roman" w:hAnsi="Arial" w:cs="Arial"/>
                <w:color w:val="000000"/>
                <w:lang w:eastAsia="en-GB"/>
              </w:rPr>
              <w:t>0.20%</w:t>
            </w:r>
          </w:p>
        </w:tc>
        <w:tc>
          <w:tcPr>
            <w:tcW w:w="1597" w:type="dxa"/>
            <w:tcBorders>
              <w:top w:val="nil"/>
              <w:left w:val="nil"/>
              <w:bottom w:val="nil"/>
              <w:right w:val="nil"/>
            </w:tcBorders>
            <w:shd w:val="clear" w:color="auto" w:fill="auto"/>
            <w:noWrap/>
            <w:vAlign w:val="bottom"/>
            <w:hideMark/>
          </w:tcPr>
          <w:p w14:paraId="7EBFD22F" w14:textId="77777777" w:rsidR="002804C9" w:rsidRPr="002804C9" w:rsidRDefault="002804C9" w:rsidP="002804C9">
            <w:pPr>
              <w:spacing w:after="0" w:line="240" w:lineRule="auto"/>
              <w:jc w:val="center"/>
              <w:rPr>
                <w:rFonts w:ascii="Arial" w:eastAsia="Times New Roman" w:hAnsi="Arial" w:cs="Arial"/>
                <w:lang w:eastAsia="en-GB"/>
              </w:rPr>
            </w:pPr>
            <w:r w:rsidRPr="002804C9">
              <w:rPr>
                <w:rFonts w:ascii="Arial" w:eastAsia="Times New Roman" w:hAnsi="Arial" w:cs="Arial"/>
                <w:lang w:eastAsia="en-GB"/>
              </w:rPr>
              <w:t>On Call</w:t>
            </w:r>
          </w:p>
        </w:tc>
        <w:tc>
          <w:tcPr>
            <w:tcW w:w="1300" w:type="dxa"/>
            <w:tcBorders>
              <w:top w:val="nil"/>
              <w:left w:val="nil"/>
              <w:bottom w:val="nil"/>
              <w:right w:val="single" w:sz="4" w:space="0" w:color="auto"/>
            </w:tcBorders>
            <w:shd w:val="clear" w:color="auto" w:fill="auto"/>
            <w:noWrap/>
            <w:vAlign w:val="bottom"/>
            <w:hideMark/>
          </w:tcPr>
          <w:p w14:paraId="1FEF4CBD" w14:textId="77777777" w:rsidR="002804C9" w:rsidRPr="002804C9" w:rsidRDefault="002804C9" w:rsidP="002804C9">
            <w:pPr>
              <w:spacing w:after="0" w:line="240" w:lineRule="auto"/>
              <w:jc w:val="center"/>
              <w:rPr>
                <w:rFonts w:ascii="Arial" w:eastAsia="Times New Roman" w:hAnsi="Arial" w:cs="Arial"/>
                <w:lang w:eastAsia="en-GB"/>
              </w:rPr>
            </w:pPr>
            <w:r w:rsidRPr="002804C9">
              <w:rPr>
                <w:rFonts w:ascii="Arial" w:eastAsia="Times New Roman" w:hAnsi="Arial" w:cs="Arial"/>
                <w:lang w:eastAsia="en-GB"/>
              </w:rPr>
              <w:t> </w:t>
            </w:r>
          </w:p>
        </w:tc>
      </w:tr>
      <w:tr w:rsidR="002804C9" w:rsidRPr="002804C9" w14:paraId="4B73FE6C" w14:textId="77777777" w:rsidTr="002804C9">
        <w:trPr>
          <w:trHeight w:val="285"/>
        </w:trPr>
        <w:tc>
          <w:tcPr>
            <w:tcW w:w="3261" w:type="dxa"/>
            <w:tcBorders>
              <w:top w:val="nil"/>
              <w:left w:val="single" w:sz="4" w:space="0" w:color="auto"/>
              <w:bottom w:val="nil"/>
              <w:right w:val="nil"/>
            </w:tcBorders>
            <w:shd w:val="clear" w:color="auto" w:fill="auto"/>
            <w:noWrap/>
            <w:vAlign w:val="bottom"/>
            <w:hideMark/>
          </w:tcPr>
          <w:p w14:paraId="0254A4F6" w14:textId="77777777" w:rsidR="002804C9" w:rsidRPr="002804C9" w:rsidRDefault="002804C9" w:rsidP="002804C9">
            <w:pPr>
              <w:spacing w:after="0" w:line="240" w:lineRule="auto"/>
              <w:rPr>
                <w:rFonts w:ascii="Arial" w:eastAsia="Times New Roman" w:hAnsi="Arial" w:cs="Arial"/>
                <w:color w:val="000000"/>
                <w:lang w:eastAsia="en-GB"/>
              </w:rPr>
            </w:pPr>
            <w:r w:rsidRPr="002804C9">
              <w:rPr>
                <w:rFonts w:ascii="Arial" w:eastAsia="Times New Roman" w:hAnsi="Arial" w:cs="Arial"/>
                <w:color w:val="000000"/>
                <w:lang w:eastAsia="en-GB"/>
              </w:rPr>
              <w:t> </w:t>
            </w:r>
          </w:p>
        </w:tc>
        <w:tc>
          <w:tcPr>
            <w:tcW w:w="1117" w:type="dxa"/>
            <w:tcBorders>
              <w:top w:val="nil"/>
              <w:left w:val="nil"/>
              <w:bottom w:val="nil"/>
              <w:right w:val="nil"/>
            </w:tcBorders>
            <w:shd w:val="clear" w:color="auto" w:fill="auto"/>
            <w:noWrap/>
            <w:vAlign w:val="bottom"/>
            <w:hideMark/>
          </w:tcPr>
          <w:p w14:paraId="044910C4" w14:textId="77777777" w:rsidR="002804C9" w:rsidRPr="002804C9" w:rsidRDefault="002804C9" w:rsidP="002804C9">
            <w:pPr>
              <w:spacing w:after="0" w:line="240" w:lineRule="auto"/>
              <w:rPr>
                <w:rFonts w:ascii="Arial" w:eastAsia="Times New Roman" w:hAnsi="Arial" w:cs="Arial"/>
                <w:color w:val="000000"/>
                <w:lang w:eastAsia="en-GB"/>
              </w:rPr>
            </w:pPr>
          </w:p>
        </w:tc>
        <w:tc>
          <w:tcPr>
            <w:tcW w:w="1047" w:type="dxa"/>
            <w:tcBorders>
              <w:top w:val="nil"/>
              <w:left w:val="nil"/>
              <w:bottom w:val="nil"/>
              <w:right w:val="nil"/>
            </w:tcBorders>
            <w:shd w:val="clear" w:color="auto" w:fill="auto"/>
            <w:noWrap/>
            <w:vAlign w:val="bottom"/>
            <w:hideMark/>
          </w:tcPr>
          <w:p w14:paraId="0214E6CE" w14:textId="77777777" w:rsidR="002804C9" w:rsidRPr="002804C9" w:rsidRDefault="002804C9" w:rsidP="002804C9">
            <w:pPr>
              <w:spacing w:after="0" w:line="240" w:lineRule="auto"/>
              <w:jc w:val="center"/>
              <w:rPr>
                <w:rFonts w:ascii="Times New Roman" w:eastAsia="Times New Roman" w:hAnsi="Times New Roman" w:cs="Times New Roman"/>
                <w:sz w:val="20"/>
                <w:szCs w:val="20"/>
                <w:lang w:eastAsia="en-GB"/>
              </w:rPr>
            </w:pPr>
          </w:p>
        </w:tc>
        <w:tc>
          <w:tcPr>
            <w:tcW w:w="954" w:type="dxa"/>
            <w:tcBorders>
              <w:top w:val="nil"/>
              <w:left w:val="nil"/>
              <w:bottom w:val="nil"/>
              <w:right w:val="nil"/>
            </w:tcBorders>
            <w:shd w:val="clear" w:color="auto" w:fill="auto"/>
            <w:noWrap/>
            <w:vAlign w:val="bottom"/>
            <w:hideMark/>
          </w:tcPr>
          <w:p w14:paraId="76E72EC3" w14:textId="77777777" w:rsidR="002804C9" w:rsidRPr="002804C9" w:rsidRDefault="002804C9" w:rsidP="002804C9">
            <w:pPr>
              <w:spacing w:after="0" w:line="240" w:lineRule="auto"/>
              <w:jc w:val="right"/>
              <w:rPr>
                <w:rFonts w:ascii="Times New Roman" w:eastAsia="Times New Roman" w:hAnsi="Times New Roman" w:cs="Times New Roman"/>
                <w:sz w:val="20"/>
                <w:szCs w:val="20"/>
                <w:lang w:eastAsia="en-GB"/>
              </w:rPr>
            </w:pPr>
          </w:p>
        </w:tc>
        <w:tc>
          <w:tcPr>
            <w:tcW w:w="1597" w:type="dxa"/>
            <w:tcBorders>
              <w:top w:val="nil"/>
              <w:left w:val="nil"/>
              <w:bottom w:val="nil"/>
              <w:right w:val="nil"/>
            </w:tcBorders>
            <w:shd w:val="clear" w:color="auto" w:fill="auto"/>
            <w:noWrap/>
            <w:vAlign w:val="bottom"/>
            <w:hideMark/>
          </w:tcPr>
          <w:p w14:paraId="1DF9D9CC" w14:textId="77777777" w:rsidR="002804C9" w:rsidRPr="002804C9" w:rsidRDefault="002804C9" w:rsidP="002804C9">
            <w:pPr>
              <w:spacing w:after="0" w:line="240" w:lineRule="auto"/>
              <w:jc w:val="center"/>
              <w:rPr>
                <w:rFonts w:ascii="Times New Roman" w:eastAsia="Times New Roman" w:hAnsi="Times New Roman" w:cs="Times New Roman"/>
                <w:sz w:val="20"/>
                <w:szCs w:val="20"/>
                <w:lang w:eastAsia="en-GB"/>
              </w:rPr>
            </w:pPr>
          </w:p>
        </w:tc>
        <w:tc>
          <w:tcPr>
            <w:tcW w:w="1300" w:type="dxa"/>
            <w:tcBorders>
              <w:top w:val="nil"/>
              <w:left w:val="nil"/>
              <w:bottom w:val="nil"/>
              <w:right w:val="single" w:sz="4" w:space="0" w:color="auto"/>
            </w:tcBorders>
            <w:shd w:val="clear" w:color="auto" w:fill="auto"/>
            <w:noWrap/>
            <w:vAlign w:val="bottom"/>
            <w:hideMark/>
          </w:tcPr>
          <w:p w14:paraId="15251A70" w14:textId="77777777" w:rsidR="002804C9" w:rsidRPr="002804C9" w:rsidRDefault="002804C9" w:rsidP="002804C9">
            <w:pPr>
              <w:spacing w:after="0" w:line="240" w:lineRule="auto"/>
              <w:jc w:val="center"/>
              <w:rPr>
                <w:rFonts w:ascii="Arial" w:eastAsia="Times New Roman" w:hAnsi="Arial" w:cs="Arial"/>
                <w:lang w:eastAsia="en-GB"/>
              </w:rPr>
            </w:pPr>
            <w:r w:rsidRPr="002804C9">
              <w:rPr>
                <w:rFonts w:ascii="Arial" w:eastAsia="Times New Roman" w:hAnsi="Arial" w:cs="Arial"/>
                <w:lang w:eastAsia="en-GB"/>
              </w:rPr>
              <w:t> </w:t>
            </w:r>
          </w:p>
        </w:tc>
      </w:tr>
      <w:tr w:rsidR="002804C9" w:rsidRPr="002804C9" w14:paraId="403B412A" w14:textId="77777777" w:rsidTr="002804C9">
        <w:trPr>
          <w:trHeight w:val="300"/>
        </w:trPr>
        <w:tc>
          <w:tcPr>
            <w:tcW w:w="3261" w:type="dxa"/>
            <w:tcBorders>
              <w:top w:val="nil"/>
              <w:left w:val="single" w:sz="4" w:space="0" w:color="auto"/>
              <w:bottom w:val="nil"/>
              <w:right w:val="nil"/>
            </w:tcBorders>
            <w:shd w:val="clear" w:color="auto" w:fill="auto"/>
            <w:noWrap/>
            <w:vAlign w:val="bottom"/>
            <w:hideMark/>
          </w:tcPr>
          <w:p w14:paraId="3BF456DE" w14:textId="77777777" w:rsidR="002804C9" w:rsidRPr="002804C9" w:rsidRDefault="002804C9" w:rsidP="002804C9">
            <w:pPr>
              <w:spacing w:after="0" w:line="240" w:lineRule="auto"/>
              <w:rPr>
                <w:rFonts w:ascii="Arial" w:eastAsia="Times New Roman" w:hAnsi="Arial" w:cs="Arial"/>
                <w:b/>
                <w:bCs/>
                <w:color w:val="000000"/>
                <w:lang w:eastAsia="en-GB"/>
              </w:rPr>
            </w:pPr>
            <w:r w:rsidRPr="002804C9">
              <w:rPr>
                <w:rFonts w:ascii="Arial" w:eastAsia="Times New Roman" w:hAnsi="Arial" w:cs="Arial"/>
                <w:b/>
                <w:bCs/>
                <w:color w:val="000000"/>
                <w:lang w:eastAsia="en-GB"/>
              </w:rPr>
              <w:t>Call Accounts sub total</w:t>
            </w:r>
          </w:p>
        </w:tc>
        <w:tc>
          <w:tcPr>
            <w:tcW w:w="1117" w:type="dxa"/>
            <w:tcBorders>
              <w:top w:val="nil"/>
              <w:left w:val="nil"/>
              <w:bottom w:val="nil"/>
              <w:right w:val="nil"/>
            </w:tcBorders>
            <w:shd w:val="clear" w:color="auto" w:fill="auto"/>
            <w:noWrap/>
            <w:vAlign w:val="bottom"/>
            <w:hideMark/>
          </w:tcPr>
          <w:p w14:paraId="27B55020" w14:textId="77777777" w:rsidR="002804C9" w:rsidRPr="002804C9" w:rsidRDefault="002804C9" w:rsidP="002804C9">
            <w:pPr>
              <w:spacing w:after="0" w:line="240" w:lineRule="auto"/>
              <w:rPr>
                <w:rFonts w:ascii="Arial" w:eastAsia="Times New Roman" w:hAnsi="Arial" w:cs="Arial"/>
                <w:b/>
                <w:bCs/>
                <w:color w:val="000000"/>
                <w:lang w:eastAsia="en-GB"/>
              </w:rPr>
            </w:pPr>
          </w:p>
        </w:tc>
        <w:tc>
          <w:tcPr>
            <w:tcW w:w="1047" w:type="dxa"/>
            <w:tcBorders>
              <w:top w:val="single" w:sz="4" w:space="0" w:color="auto"/>
              <w:left w:val="nil"/>
              <w:bottom w:val="nil"/>
              <w:right w:val="nil"/>
            </w:tcBorders>
            <w:shd w:val="clear" w:color="auto" w:fill="auto"/>
            <w:noWrap/>
            <w:vAlign w:val="bottom"/>
            <w:hideMark/>
          </w:tcPr>
          <w:p w14:paraId="71CFAE6B" w14:textId="77777777" w:rsidR="002804C9" w:rsidRPr="002804C9" w:rsidRDefault="002804C9" w:rsidP="002804C9">
            <w:pPr>
              <w:spacing w:after="0" w:line="240" w:lineRule="auto"/>
              <w:jc w:val="right"/>
              <w:rPr>
                <w:rFonts w:ascii="Arial" w:eastAsia="Times New Roman" w:hAnsi="Arial" w:cs="Arial"/>
                <w:b/>
                <w:bCs/>
                <w:color w:val="000000"/>
                <w:lang w:eastAsia="en-GB"/>
              </w:rPr>
            </w:pPr>
            <w:r w:rsidRPr="002804C9">
              <w:rPr>
                <w:rFonts w:ascii="Arial" w:eastAsia="Times New Roman" w:hAnsi="Arial" w:cs="Arial"/>
                <w:b/>
                <w:bCs/>
                <w:color w:val="000000"/>
                <w:lang w:eastAsia="en-GB"/>
              </w:rPr>
              <w:t>6,000</w:t>
            </w:r>
          </w:p>
        </w:tc>
        <w:tc>
          <w:tcPr>
            <w:tcW w:w="954" w:type="dxa"/>
            <w:tcBorders>
              <w:top w:val="nil"/>
              <w:left w:val="nil"/>
              <w:bottom w:val="nil"/>
              <w:right w:val="nil"/>
            </w:tcBorders>
            <w:shd w:val="clear" w:color="auto" w:fill="auto"/>
            <w:noWrap/>
            <w:vAlign w:val="bottom"/>
            <w:hideMark/>
          </w:tcPr>
          <w:p w14:paraId="4763340F" w14:textId="77777777" w:rsidR="002804C9" w:rsidRPr="002804C9" w:rsidRDefault="002804C9" w:rsidP="002804C9">
            <w:pPr>
              <w:spacing w:after="0" w:line="240" w:lineRule="auto"/>
              <w:jc w:val="right"/>
              <w:rPr>
                <w:rFonts w:ascii="Arial" w:eastAsia="Times New Roman" w:hAnsi="Arial" w:cs="Arial"/>
                <w:b/>
                <w:bCs/>
                <w:color w:val="000000"/>
                <w:lang w:eastAsia="en-GB"/>
              </w:rPr>
            </w:pPr>
          </w:p>
        </w:tc>
        <w:tc>
          <w:tcPr>
            <w:tcW w:w="1597" w:type="dxa"/>
            <w:tcBorders>
              <w:top w:val="nil"/>
              <w:left w:val="nil"/>
              <w:bottom w:val="nil"/>
              <w:right w:val="nil"/>
            </w:tcBorders>
            <w:shd w:val="clear" w:color="auto" w:fill="auto"/>
            <w:noWrap/>
            <w:vAlign w:val="bottom"/>
            <w:hideMark/>
          </w:tcPr>
          <w:p w14:paraId="43D10096" w14:textId="77777777" w:rsidR="002804C9" w:rsidRPr="002804C9" w:rsidRDefault="002804C9" w:rsidP="002804C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single" w:sz="4" w:space="0" w:color="auto"/>
            </w:tcBorders>
            <w:shd w:val="clear" w:color="auto" w:fill="auto"/>
            <w:noWrap/>
            <w:vAlign w:val="bottom"/>
            <w:hideMark/>
          </w:tcPr>
          <w:p w14:paraId="44104BDD" w14:textId="77777777" w:rsidR="002804C9" w:rsidRPr="002804C9" w:rsidRDefault="002804C9" w:rsidP="002804C9">
            <w:pPr>
              <w:spacing w:after="0" w:line="240" w:lineRule="auto"/>
              <w:jc w:val="center"/>
              <w:rPr>
                <w:rFonts w:ascii="Arial" w:eastAsia="Times New Roman" w:hAnsi="Arial" w:cs="Arial"/>
                <w:lang w:eastAsia="en-GB"/>
              </w:rPr>
            </w:pPr>
            <w:r w:rsidRPr="002804C9">
              <w:rPr>
                <w:rFonts w:ascii="Arial" w:eastAsia="Times New Roman" w:hAnsi="Arial" w:cs="Arial"/>
                <w:lang w:eastAsia="en-GB"/>
              </w:rPr>
              <w:t> </w:t>
            </w:r>
          </w:p>
        </w:tc>
      </w:tr>
      <w:tr w:rsidR="002804C9" w:rsidRPr="002804C9" w14:paraId="659BB721" w14:textId="77777777" w:rsidTr="002804C9">
        <w:trPr>
          <w:trHeight w:val="300"/>
        </w:trPr>
        <w:tc>
          <w:tcPr>
            <w:tcW w:w="3261" w:type="dxa"/>
            <w:tcBorders>
              <w:top w:val="nil"/>
              <w:left w:val="single" w:sz="4" w:space="0" w:color="auto"/>
              <w:bottom w:val="nil"/>
              <w:right w:val="nil"/>
            </w:tcBorders>
            <w:shd w:val="clear" w:color="auto" w:fill="auto"/>
            <w:noWrap/>
            <w:vAlign w:val="bottom"/>
            <w:hideMark/>
          </w:tcPr>
          <w:p w14:paraId="3C3FC6F8" w14:textId="77777777" w:rsidR="002804C9" w:rsidRPr="002804C9" w:rsidRDefault="002804C9" w:rsidP="002804C9">
            <w:pPr>
              <w:spacing w:after="0" w:line="240" w:lineRule="auto"/>
              <w:rPr>
                <w:rFonts w:ascii="Arial" w:eastAsia="Times New Roman" w:hAnsi="Arial" w:cs="Arial"/>
                <w:color w:val="000000"/>
                <w:lang w:eastAsia="en-GB"/>
              </w:rPr>
            </w:pPr>
            <w:r w:rsidRPr="002804C9">
              <w:rPr>
                <w:rFonts w:ascii="Arial" w:eastAsia="Times New Roman" w:hAnsi="Arial" w:cs="Arial"/>
                <w:color w:val="000000"/>
                <w:lang w:eastAsia="en-GB"/>
              </w:rPr>
              <w:t> </w:t>
            </w:r>
          </w:p>
        </w:tc>
        <w:tc>
          <w:tcPr>
            <w:tcW w:w="1117" w:type="dxa"/>
            <w:tcBorders>
              <w:top w:val="nil"/>
              <w:left w:val="nil"/>
              <w:bottom w:val="nil"/>
              <w:right w:val="nil"/>
            </w:tcBorders>
            <w:shd w:val="clear" w:color="auto" w:fill="auto"/>
            <w:noWrap/>
            <w:vAlign w:val="bottom"/>
            <w:hideMark/>
          </w:tcPr>
          <w:p w14:paraId="75C0E258" w14:textId="77777777" w:rsidR="002804C9" w:rsidRPr="002804C9" w:rsidRDefault="002804C9" w:rsidP="002804C9">
            <w:pPr>
              <w:spacing w:after="0" w:line="240" w:lineRule="auto"/>
              <w:rPr>
                <w:rFonts w:ascii="Arial" w:eastAsia="Times New Roman" w:hAnsi="Arial" w:cs="Arial"/>
                <w:color w:val="000000"/>
                <w:lang w:eastAsia="en-GB"/>
              </w:rPr>
            </w:pPr>
          </w:p>
        </w:tc>
        <w:tc>
          <w:tcPr>
            <w:tcW w:w="1047" w:type="dxa"/>
            <w:tcBorders>
              <w:top w:val="nil"/>
              <w:left w:val="nil"/>
              <w:bottom w:val="nil"/>
              <w:right w:val="nil"/>
            </w:tcBorders>
            <w:shd w:val="clear" w:color="auto" w:fill="auto"/>
            <w:noWrap/>
            <w:vAlign w:val="bottom"/>
            <w:hideMark/>
          </w:tcPr>
          <w:p w14:paraId="03B84A66" w14:textId="77777777" w:rsidR="002804C9" w:rsidRPr="002804C9" w:rsidRDefault="002804C9" w:rsidP="002804C9">
            <w:pPr>
              <w:spacing w:after="0" w:line="240" w:lineRule="auto"/>
              <w:jc w:val="center"/>
              <w:rPr>
                <w:rFonts w:ascii="Times New Roman" w:eastAsia="Times New Roman" w:hAnsi="Times New Roman" w:cs="Times New Roman"/>
                <w:sz w:val="20"/>
                <w:szCs w:val="20"/>
                <w:lang w:eastAsia="en-GB"/>
              </w:rPr>
            </w:pPr>
          </w:p>
        </w:tc>
        <w:tc>
          <w:tcPr>
            <w:tcW w:w="954" w:type="dxa"/>
            <w:tcBorders>
              <w:top w:val="nil"/>
              <w:left w:val="nil"/>
              <w:bottom w:val="nil"/>
              <w:right w:val="nil"/>
            </w:tcBorders>
            <w:shd w:val="clear" w:color="auto" w:fill="auto"/>
            <w:noWrap/>
            <w:vAlign w:val="bottom"/>
            <w:hideMark/>
          </w:tcPr>
          <w:p w14:paraId="500AEB6B" w14:textId="77777777" w:rsidR="002804C9" w:rsidRPr="002804C9" w:rsidRDefault="002804C9" w:rsidP="002804C9">
            <w:pPr>
              <w:spacing w:after="0" w:line="240" w:lineRule="auto"/>
              <w:jc w:val="right"/>
              <w:rPr>
                <w:rFonts w:ascii="Times New Roman" w:eastAsia="Times New Roman" w:hAnsi="Times New Roman" w:cs="Times New Roman"/>
                <w:sz w:val="20"/>
                <w:szCs w:val="20"/>
                <w:lang w:eastAsia="en-GB"/>
              </w:rPr>
            </w:pPr>
          </w:p>
        </w:tc>
        <w:tc>
          <w:tcPr>
            <w:tcW w:w="1597" w:type="dxa"/>
            <w:tcBorders>
              <w:top w:val="nil"/>
              <w:left w:val="nil"/>
              <w:bottom w:val="nil"/>
              <w:right w:val="nil"/>
            </w:tcBorders>
            <w:shd w:val="clear" w:color="auto" w:fill="auto"/>
            <w:noWrap/>
            <w:vAlign w:val="bottom"/>
            <w:hideMark/>
          </w:tcPr>
          <w:p w14:paraId="4DF642D5" w14:textId="77777777" w:rsidR="002804C9" w:rsidRPr="002804C9" w:rsidRDefault="002804C9" w:rsidP="002804C9">
            <w:pPr>
              <w:spacing w:after="0" w:line="240" w:lineRule="auto"/>
              <w:jc w:val="center"/>
              <w:rPr>
                <w:rFonts w:ascii="Times New Roman" w:eastAsia="Times New Roman" w:hAnsi="Times New Roman" w:cs="Times New Roman"/>
                <w:sz w:val="20"/>
                <w:szCs w:val="20"/>
                <w:lang w:eastAsia="en-GB"/>
              </w:rPr>
            </w:pPr>
          </w:p>
        </w:tc>
        <w:tc>
          <w:tcPr>
            <w:tcW w:w="1300" w:type="dxa"/>
            <w:tcBorders>
              <w:top w:val="nil"/>
              <w:left w:val="nil"/>
              <w:bottom w:val="nil"/>
              <w:right w:val="single" w:sz="4" w:space="0" w:color="auto"/>
            </w:tcBorders>
            <w:shd w:val="clear" w:color="auto" w:fill="auto"/>
            <w:noWrap/>
            <w:vAlign w:val="bottom"/>
            <w:hideMark/>
          </w:tcPr>
          <w:p w14:paraId="7B6ED2D9" w14:textId="77777777" w:rsidR="002804C9" w:rsidRPr="002804C9" w:rsidRDefault="002804C9" w:rsidP="002804C9">
            <w:pPr>
              <w:spacing w:after="0" w:line="240" w:lineRule="auto"/>
              <w:jc w:val="center"/>
              <w:rPr>
                <w:rFonts w:ascii="Arial" w:eastAsia="Times New Roman" w:hAnsi="Arial" w:cs="Arial"/>
                <w:lang w:eastAsia="en-GB"/>
              </w:rPr>
            </w:pPr>
            <w:r w:rsidRPr="002804C9">
              <w:rPr>
                <w:rFonts w:ascii="Arial" w:eastAsia="Times New Roman" w:hAnsi="Arial" w:cs="Arial"/>
                <w:lang w:eastAsia="en-GB"/>
              </w:rPr>
              <w:t> </w:t>
            </w:r>
          </w:p>
        </w:tc>
      </w:tr>
      <w:tr w:rsidR="002804C9" w:rsidRPr="002804C9" w14:paraId="33BB5CD8" w14:textId="77777777" w:rsidTr="002804C9">
        <w:trPr>
          <w:trHeight w:val="285"/>
        </w:trPr>
        <w:tc>
          <w:tcPr>
            <w:tcW w:w="3261" w:type="dxa"/>
            <w:tcBorders>
              <w:top w:val="nil"/>
              <w:left w:val="single" w:sz="4" w:space="0" w:color="auto"/>
              <w:bottom w:val="nil"/>
              <w:right w:val="nil"/>
            </w:tcBorders>
            <w:shd w:val="clear" w:color="auto" w:fill="auto"/>
            <w:noWrap/>
            <w:vAlign w:val="bottom"/>
            <w:hideMark/>
          </w:tcPr>
          <w:p w14:paraId="21CD6733" w14:textId="77777777" w:rsidR="002804C9" w:rsidRPr="002804C9" w:rsidRDefault="002804C9" w:rsidP="002804C9">
            <w:pPr>
              <w:spacing w:after="0" w:line="240" w:lineRule="auto"/>
              <w:rPr>
                <w:rFonts w:ascii="Arial" w:eastAsia="Times New Roman" w:hAnsi="Arial" w:cs="Arial"/>
                <w:color w:val="000000"/>
                <w:lang w:eastAsia="en-GB"/>
              </w:rPr>
            </w:pPr>
            <w:r w:rsidRPr="002804C9">
              <w:rPr>
                <w:rFonts w:ascii="Arial" w:eastAsia="Times New Roman" w:hAnsi="Arial" w:cs="Arial"/>
                <w:color w:val="000000"/>
                <w:lang w:eastAsia="en-GB"/>
              </w:rPr>
              <w:t>Federated</w:t>
            </w:r>
          </w:p>
        </w:tc>
        <w:tc>
          <w:tcPr>
            <w:tcW w:w="1117" w:type="dxa"/>
            <w:tcBorders>
              <w:top w:val="nil"/>
              <w:left w:val="nil"/>
              <w:bottom w:val="nil"/>
              <w:right w:val="nil"/>
            </w:tcBorders>
            <w:shd w:val="clear" w:color="auto" w:fill="auto"/>
            <w:noWrap/>
            <w:vAlign w:val="bottom"/>
            <w:hideMark/>
          </w:tcPr>
          <w:p w14:paraId="5FFCCCD1" w14:textId="77777777" w:rsidR="002804C9" w:rsidRPr="002804C9" w:rsidRDefault="002804C9" w:rsidP="002804C9">
            <w:pPr>
              <w:spacing w:after="0" w:line="240" w:lineRule="auto"/>
              <w:jc w:val="center"/>
              <w:rPr>
                <w:rFonts w:ascii="Arial" w:eastAsia="Times New Roman" w:hAnsi="Arial" w:cs="Arial"/>
                <w:color w:val="000000"/>
                <w:lang w:eastAsia="en-GB"/>
              </w:rPr>
            </w:pPr>
            <w:r w:rsidRPr="002804C9">
              <w:rPr>
                <w:rFonts w:ascii="Arial" w:eastAsia="Times New Roman" w:hAnsi="Arial" w:cs="Arial"/>
                <w:color w:val="000000"/>
                <w:lang w:eastAsia="en-GB"/>
              </w:rPr>
              <w:t>MMF</w:t>
            </w:r>
          </w:p>
        </w:tc>
        <w:tc>
          <w:tcPr>
            <w:tcW w:w="1047" w:type="dxa"/>
            <w:tcBorders>
              <w:top w:val="nil"/>
              <w:left w:val="nil"/>
              <w:bottom w:val="nil"/>
              <w:right w:val="nil"/>
            </w:tcBorders>
            <w:shd w:val="clear" w:color="auto" w:fill="auto"/>
            <w:noWrap/>
            <w:vAlign w:val="bottom"/>
            <w:hideMark/>
          </w:tcPr>
          <w:p w14:paraId="004A5E19" w14:textId="77777777" w:rsidR="002804C9" w:rsidRPr="002804C9" w:rsidRDefault="002804C9" w:rsidP="002804C9">
            <w:pPr>
              <w:spacing w:after="0" w:line="240" w:lineRule="auto"/>
              <w:jc w:val="right"/>
              <w:rPr>
                <w:rFonts w:ascii="Arial" w:eastAsia="Times New Roman" w:hAnsi="Arial" w:cs="Arial"/>
                <w:color w:val="000000"/>
                <w:lang w:eastAsia="en-GB"/>
              </w:rPr>
            </w:pPr>
            <w:r w:rsidRPr="002804C9">
              <w:rPr>
                <w:rFonts w:ascii="Arial" w:eastAsia="Times New Roman" w:hAnsi="Arial" w:cs="Arial"/>
                <w:color w:val="000000"/>
                <w:lang w:eastAsia="en-GB"/>
              </w:rPr>
              <w:t>4,950</w:t>
            </w:r>
          </w:p>
        </w:tc>
        <w:tc>
          <w:tcPr>
            <w:tcW w:w="954" w:type="dxa"/>
            <w:tcBorders>
              <w:top w:val="nil"/>
              <w:left w:val="nil"/>
              <w:bottom w:val="nil"/>
              <w:right w:val="nil"/>
            </w:tcBorders>
            <w:shd w:val="clear" w:color="auto" w:fill="auto"/>
            <w:noWrap/>
            <w:vAlign w:val="bottom"/>
            <w:hideMark/>
          </w:tcPr>
          <w:p w14:paraId="40089556" w14:textId="77777777" w:rsidR="002804C9" w:rsidRPr="002804C9" w:rsidRDefault="002804C9" w:rsidP="002804C9">
            <w:pPr>
              <w:spacing w:after="0" w:line="240" w:lineRule="auto"/>
              <w:jc w:val="center"/>
              <w:rPr>
                <w:rFonts w:ascii="Arial" w:eastAsia="Times New Roman" w:hAnsi="Arial" w:cs="Arial"/>
                <w:color w:val="000000"/>
                <w:lang w:eastAsia="en-GB"/>
              </w:rPr>
            </w:pPr>
            <w:r w:rsidRPr="002804C9">
              <w:rPr>
                <w:rFonts w:ascii="Arial" w:eastAsia="Times New Roman" w:hAnsi="Arial" w:cs="Arial"/>
                <w:color w:val="000000"/>
                <w:lang w:eastAsia="en-GB"/>
              </w:rPr>
              <w:t>2.08%</w:t>
            </w:r>
          </w:p>
        </w:tc>
        <w:tc>
          <w:tcPr>
            <w:tcW w:w="1597" w:type="dxa"/>
            <w:tcBorders>
              <w:top w:val="nil"/>
              <w:left w:val="nil"/>
              <w:bottom w:val="nil"/>
              <w:right w:val="nil"/>
            </w:tcBorders>
            <w:shd w:val="clear" w:color="auto" w:fill="auto"/>
            <w:noWrap/>
            <w:vAlign w:val="bottom"/>
            <w:hideMark/>
          </w:tcPr>
          <w:p w14:paraId="2455DD30" w14:textId="77777777" w:rsidR="002804C9" w:rsidRPr="002804C9" w:rsidRDefault="002804C9" w:rsidP="002804C9">
            <w:pPr>
              <w:spacing w:after="0" w:line="240" w:lineRule="auto"/>
              <w:jc w:val="center"/>
              <w:rPr>
                <w:rFonts w:ascii="Arial" w:eastAsia="Times New Roman" w:hAnsi="Arial" w:cs="Arial"/>
                <w:lang w:eastAsia="en-GB"/>
              </w:rPr>
            </w:pPr>
            <w:r w:rsidRPr="002804C9">
              <w:rPr>
                <w:rFonts w:ascii="Arial" w:eastAsia="Times New Roman" w:hAnsi="Arial" w:cs="Arial"/>
                <w:lang w:eastAsia="en-GB"/>
              </w:rPr>
              <w:t>On Call</w:t>
            </w:r>
          </w:p>
        </w:tc>
        <w:tc>
          <w:tcPr>
            <w:tcW w:w="1300" w:type="dxa"/>
            <w:tcBorders>
              <w:top w:val="nil"/>
              <w:left w:val="nil"/>
              <w:bottom w:val="nil"/>
              <w:right w:val="single" w:sz="4" w:space="0" w:color="auto"/>
            </w:tcBorders>
            <w:shd w:val="clear" w:color="auto" w:fill="auto"/>
            <w:noWrap/>
            <w:vAlign w:val="bottom"/>
            <w:hideMark/>
          </w:tcPr>
          <w:p w14:paraId="0D132D3E" w14:textId="77777777" w:rsidR="002804C9" w:rsidRPr="002804C9" w:rsidRDefault="002804C9" w:rsidP="002804C9">
            <w:pPr>
              <w:spacing w:after="0" w:line="240" w:lineRule="auto"/>
              <w:jc w:val="center"/>
              <w:rPr>
                <w:rFonts w:ascii="Arial" w:eastAsia="Times New Roman" w:hAnsi="Arial" w:cs="Arial"/>
                <w:lang w:eastAsia="en-GB"/>
              </w:rPr>
            </w:pPr>
            <w:r w:rsidRPr="002804C9">
              <w:rPr>
                <w:rFonts w:ascii="Arial" w:eastAsia="Times New Roman" w:hAnsi="Arial" w:cs="Arial"/>
                <w:lang w:eastAsia="en-GB"/>
              </w:rPr>
              <w:t> </w:t>
            </w:r>
          </w:p>
        </w:tc>
      </w:tr>
      <w:tr w:rsidR="002804C9" w:rsidRPr="002804C9" w14:paraId="35346A4D" w14:textId="77777777" w:rsidTr="002804C9">
        <w:trPr>
          <w:trHeight w:val="285"/>
        </w:trPr>
        <w:tc>
          <w:tcPr>
            <w:tcW w:w="3261" w:type="dxa"/>
            <w:tcBorders>
              <w:top w:val="nil"/>
              <w:left w:val="single" w:sz="4" w:space="0" w:color="auto"/>
              <w:bottom w:val="nil"/>
              <w:right w:val="nil"/>
            </w:tcBorders>
            <w:shd w:val="clear" w:color="auto" w:fill="auto"/>
            <w:noWrap/>
            <w:vAlign w:val="bottom"/>
            <w:hideMark/>
          </w:tcPr>
          <w:p w14:paraId="35E5A296" w14:textId="77777777" w:rsidR="002804C9" w:rsidRPr="002804C9" w:rsidRDefault="002804C9" w:rsidP="002804C9">
            <w:pPr>
              <w:spacing w:after="0" w:line="240" w:lineRule="auto"/>
              <w:rPr>
                <w:rFonts w:ascii="Arial" w:eastAsia="Times New Roman" w:hAnsi="Arial" w:cs="Arial"/>
                <w:color w:val="000000"/>
                <w:lang w:eastAsia="en-GB"/>
              </w:rPr>
            </w:pPr>
            <w:r w:rsidRPr="002804C9">
              <w:rPr>
                <w:rFonts w:ascii="Arial" w:eastAsia="Times New Roman" w:hAnsi="Arial" w:cs="Arial"/>
                <w:color w:val="000000"/>
                <w:lang w:eastAsia="en-GB"/>
              </w:rPr>
              <w:t>Aberdeen Standard</w:t>
            </w:r>
          </w:p>
        </w:tc>
        <w:tc>
          <w:tcPr>
            <w:tcW w:w="1117" w:type="dxa"/>
            <w:tcBorders>
              <w:top w:val="nil"/>
              <w:left w:val="nil"/>
              <w:bottom w:val="nil"/>
              <w:right w:val="nil"/>
            </w:tcBorders>
            <w:shd w:val="clear" w:color="auto" w:fill="auto"/>
            <w:noWrap/>
            <w:vAlign w:val="bottom"/>
            <w:hideMark/>
          </w:tcPr>
          <w:p w14:paraId="459B1F58" w14:textId="77777777" w:rsidR="002804C9" w:rsidRPr="002804C9" w:rsidRDefault="002804C9" w:rsidP="002804C9">
            <w:pPr>
              <w:spacing w:after="0" w:line="240" w:lineRule="auto"/>
              <w:jc w:val="center"/>
              <w:rPr>
                <w:rFonts w:ascii="Arial" w:eastAsia="Times New Roman" w:hAnsi="Arial" w:cs="Arial"/>
                <w:color w:val="000000"/>
                <w:lang w:eastAsia="en-GB"/>
              </w:rPr>
            </w:pPr>
            <w:r w:rsidRPr="002804C9">
              <w:rPr>
                <w:rFonts w:ascii="Arial" w:eastAsia="Times New Roman" w:hAnsi="Arial" w:cs="Arial"/>
                <w:color w:val="000000"/>
                <w:lang w:eastAsia="en-GB"/>
              </w:rPr>
              <w:t>MMF</w:t>
            </w:r>
          </w:p>
        </w:tc>
        <w:tc>
          <w:tcPr>
            <w:tcW w:w="1047" w:type="dxa"/>
            <w:tcBorders>
              <w:top w:val="nil"/>
              <w:left w:val="nil"/>
              <w:bottom w:val="nil"/>
              <w:right w:val="nil"/>
            </w:tcBorders>
            <w:shd w:val="clear" w:color="auto" w:fill="auto"/>
            <w:noWrap/>
            <w:vAlign w:val="bottom"/>
            <w:hideMark/>
          </w:tcPr>
          <w:p w14:paraId="6B0E5E6A" w14:textId="77777777" w:rsidR="002804C9" w:rsidRPr="002804C9" w:rsidRDefault="002804C9" w:rsidP="002804C9">
            <w:pPr>
              <w:spacing w:after="0" w:line="240" w:lineRule="auto"/>
              <w:jc w:val="right"/>
              <w:rPr>
                <w:rFonts w:ascii="Arial" w:eastAsia="Times New Roman" w:hAnsi="Arial" w:cs="Arial"/>
                <w:color w:val="000000"/>
                <w:lang w:eastAsia="en-GB"/>
              </w:rPr>
            </w:pPr>
            <w:r w:rsidRPr="002804C9">
              <w:rPr>
                <w:rFonts w:ascii="Arial" w:eastAsia="Times New Roman" w:hAnsi="Arial" w:cs="Arial"/>
                <w:color w:val="000000"/>
                <w:lang w:eastAsia="en-GB"/>
              </w:rPr>
              <w:t>4,950</w:t>
            </w:r>
          </w:p>
        </w:tc>
        <w:tc>
          <w:tcPr>
            <w:tcW w:w="954" w:type="dxa"/>
            <w:tcBorders>
              <w:top w:val="nil"/>
              <w:left w:val="nil"/>
              <w:bottom w:val="nil"/>
              <w:right w:val="nil"/>
            </w:tcBorders>
            <w:shd w:val="clear" w:color="auto" w:fill="auto"/>
            <w:noWrap/>
            <w:vAlign w:val="bottom"/>
            <w:hideMark/>
          </w:tcPr>
          <w:p w14:paraId="2148F47B" w14:textId="77777777" w:rsidR="002804C9" w:rsidRPr="002804C9" w:rsidRDefault="002804C9" w:rsidP="002804C9">
            <w:pPr>
              <w:spacing w:after="0" w:line="240" w:lineRule="auto"/>
              <w:jc w:val="center"/>
              <w:rPr>
                <w:rFonts w:ascii="Arial" w:eastAsia="Times New Roman" w:hAnsi="Arial" w:cs="Arial"/>
                <w:color w:val="000000"/>
                <w:lang w:eastAsia="en-GB"/>
              </w:rPr>
            </w:pPr>
            <w:r w:rsidRPr="002804C9">
              <w:rPr>
                <w:rFonts w:ascii="Arial" w:eastAsia="Times New Roman" w:hAnsi="Arial" w:cs="Arial"/>
                <w:color w:val="000000"/>
                <w:lang w:eastAsia="en-GB"/>
              </w:rPr>
              <w:t>2.13%</w:t>
            </w:r>
          </w:p>
        </w:tc>
        <w:tc>
          <w:tcPr>
            <w:tcW w:w="1597" w:type="dxa"/>
            <w:tcBorders>
              <w:top w:val="nil"/>
              <w:left w:val="nil"/>
              <w:bottom w:val="nil"/>
              <w:right w:val="nil"/>
            </w:tcBorders>
            <w:shd w:val="clear" w:color="auto" w:fill="auto"/>
            <w:noWrap/>
            <w:vAlign w:val="bottom"/>
            <w:hideMark/>
          </w:tcPr>
          <w:p w14:paraId="06D7E2C9" w14:textId="77777777" w:rsidR="002804C9" w:rsidRPr="002804C9" w:rsidRDefault="002804C9" w:rsidP="002804C9">
            <w:pPr>
              <w:spacing w:after="0" w:line="240" w:lineRule="auto"/>
              <w:jc w:val="center"/>
              <w:rPr>
                <w:rFonts w:ascii="Arial" w:eastAsia="Times New Roman" w:hAnsi="Arial" w:cs="Arial"/>
                <w:lang w:eastAsia="en-GB"/>
              </w:rPr>
            </w:pPr>
            <w:r w:rsidRPr="002804C9">
              <w:rPr>
                <w:rFonts w:ascii="Arial" w:eastAsia="Times New Roman" w:hAnsi="Arial" w:cs="Arial"/>
                <w:lang w:eastAsia="en-GB"/>
              </w:rPr>
              <w:t>On Call</w:t>
            </w:r>
          </w:p>
        </w:tc>
        <w:tc>
          <w:tcPr>
            <w:tcW w:w="1300" w:type="dxa"/>
            <w:tcBorders>
              <w:top w:val="nil"/>
              <w:left w:val="nil"/>
              <w:bottom w:val="nil"/>
              <w:right w:val="single" w:sz="4" w:space="0" w:color="auto"/>
            </w:tcBorders>
            <w:shd w:val="clear" w:color="auto" w:fill="auto"/>
            <w:noWrap/>
            <w:vAlign w:val="bottom"/>
            <w:hideMark/>
          </w:tcPr>
          <w:p w14:paraId="2323F32A" w14:textId="77777777" w:rsidR="002804C9" w:rsidRPr="002804C9" w:rsidRDefault="002804C9" w:rsidP="002804C9">
            <w:pPr>
              <w:spacing w:after="0" w:line="240" w:lineRule="auto"/>
              <w:jc w:val="center"/>
              <w:rPr>
                <w:rFonts w:ascii="Arial" w:eastAsia="Times New Roman" w:hAnsi="Arial" w:cs="Arial"/>
                <w:lang w:eastAsia="en-GB"/>
              </w:rPr>
            </w:pPr>
            <w:r w:rsidRPr="002804C9">
              <w:rPr>
                <w:rFonts w:ascii="Arial" w:eastAsia="Times New Roman" w:hAnsi="Arial" w:cs="Arial"/>
                <w:lang w:eastAsia="en-GB"/>
              </w:rPr>
              <w:t> </w:t>
            </w:r>
          </w:p>
        </w:tc>
      </w:tr>
      <w:tr w:rsidR="002804C9" w:rsidRPr="002804C9" w14:paraId="68A64C0B" w14:textId="77777777" w:rsidTr="002804C9">
        <w:trPr>
          <w:trHeight w:val="285"/>
        </w:trPr>
        <w:tc>
          <w:tcPr>
            <w:tcW w:w="3261" w:type="dxa"/>
            <w:tcBorders>
              <w:top w:val="nil"/>
              <w:left w:val="single" w:sz="4" w:space="0" w:color="auto"/>
              <w:bottom w:val="nil"/>
              <w:right w:val="nil"/>
            </w:tcBorders>
            <w:shd w:val="clear" w:color="auto" w:fill="auto"/>
            <w:noWrap/>
            <w:vAlign w:val="bottom"/>
            <w:hideMark/>
          </w:tcPr>
          <w:p w14:paraId="36DECFDC" w14:textId="77777777" w:rsidR="002804C9" w:rsidRPr="002804C9" w:rsidRDefault="002804C9" w:rsidP="002804C9">
            <w:pPr>
              <w:spacing w:after="0" w:line="240" w:lineRule="auto"/>
              <w:rPr>
                <w:rFonts w:ascii="Arial" w:eastAsia="Times New Roman" w:hAnsi="Arial" w:cs="Arial"/>
                <w:color w:val="000000"/>
                <w:lang w:eastAsia="en-GB"/>
              </w:rPr>
            </w:pPr>
            <w:r w:rsidRPr="002804C9">
              <w:rPr>
                <w:rFonts w:ascii="Arial" w:eastAsia="Times New Roman" w:hAnsi="Arial" w:cs="Arial"/>
                <w:color w:val="000000"/>
                <w:lang w:eastAsia="en-GB"/>
              </w:rPr>
              <w:t>Blackrock</w:t>
            </w:r>
          </w:p>
        </w:tc>
        <w:tc>
          <w:tcPr>
            <w:tcW w:w="1117" w:type="dxa"/>
            <w:tcBorders>
              <w:top w:val="nil"/>
              <w:left w:val="nil"/>
              <w:bottom w:val="nil"/>
              <w:right w:val="nil"/>
            </w:tcBorders>
            <w:shd w:val="clear" w:color="auto" w:fill="auto"/>
            <w:noWrap/>
            <w:vAlign w:val="bottom"/>
            <w:hideMark/>
          </w:tcPr>
          <w:p w14:paraId="1CD8F421" w14:textId="77777777" w:rsidR="002804C9" w:rsidRPr="002804C9" w:rsidRDefault="002804C9" w:rsidP="002804C9">
            <w:pPr>
              <w:spacing w:after="0" w:line="240" w:lineRule="auto"/>
              <w:jc w:val="center"/>
              <w:rPr>
                <w:rFonts w:ascii="Arial" w:eastAsia="Times New Roman" w:hAnsi="Arial" w:cs="Arial"/>
                <w:color w:val="000000"/>
                <w:lang w:eastAsia="en-GB"/>
              </w:rPr>
            </w:pPr>
            <w:r w:rsidRPr="002804C9">
              <w:rPr>
                <w:rFonts w:ascii="Arial" w:eastAsia="Times New Roman" w:hAnsi="Arial" w:cs="Arial"/>
                <w:color w:val="000000"/>
                <w:lang w:eastAsia="en-GB"/>
              </w:rPr>
              <w:t>MMF</w:t>
            </w:r>
          </w:p>
        </w:tc>
        <w:tc>
          <w:tcPr>
            <w:tcW w:w="1047" w:type="dxa"/>
            <w:tcBorders>
              <w:top w:val="nil"/>
              <w:left w:val="nil"/>
              <w:bottom w:val="nil"/>
              <w:right w:val="nil"/>
            </w:tcBorders>
            <w:shd w:val="clear" w:color="auto" w:fill="auto"/>
            <w:noWrap/>
            <w:vAlign w:val="bottom"/>
            <w:hideMark/>
          </w:tcPr>
          <w:p w14:paraId="4A1A5B39" w14:textId="77777777" w:rsidR="002804C9" w:rsidRPr="002804C9" w:rsidRDefault="002804C9" w:rsidP="002804C9">
            <w:pPr>
              <w:spacing w:after="0" w:line="240" w:lineRule="auto"/>
              <w:jc w:val="right"/>
              <w:rPr>
                <w:rFonts w:ascii="Arial" w:eastAsia="Times New Roman" w:hAnsi="Arial" w:cs="Arial"/>
                <w:color w:val="000000"/>
                <w:lang w:eastAsia="en-GB"/>
              </w:rPr>
            </w:pPr>
            <w:r w:rsidRPr="002804C9">
              <w:rPr>
                <w:rFonts w:ascii="Arial" w:eastAsia="Times New Roman" w:hAnsi="Arial" w:cs="Arial"/>
                <w:color w:val="000000"/>
                <w:lang w:eastAsia="en-GB"/>
              </w:rPr>
              <w:t>5,000</w:t>
            </w:r>
          </w:p>
        </w:tc>
        <w:tc>
          <w:tcPr>
            <w:tcW w:w="954" w:type="dxa"/>
            <w:tcBorders>
              <w:top w:val="nil"/>
              <w:left w:val="nil"/>
              <w:bottom w:val="nil"/>
              <w:right w:val="nil"/>
            </w:tcBorders>
            <w:shd w:val="clear" w:color="auto" w:fill="auto"/>
            <w:noWrap/>
            <w:vAlign w:val="bottom"/>
            <w:hideMark/>
          </w:tcPr>
          <w:p w14:paraId="702A6D40" w14:textId="77777777" w:rsidR="002804C9" w:rsidRPr="002804C9" w:rsidRDefault="002804C9" w:rsidP="002804C9">
            <w:pPr>
              <w:spacing w:after="0" w:line="240" w:lineRule="auto"/>
              <w:jc w:val="center"/>
              <w:rPr>
                <w:rFonts w:ascii="Arial" w:eastAsia="Times New Roman" w:hAnsi="Arial" w:cs="Arial"/>
                <w:color w:val="000000"/>
                <w:lang w:eastAsia="en-GB"/>
              </w:rPr>
            </w:pPr>
            <w:r w:rsidRPr="002804C9">
              <w:rPr>
                <w:rFonts w:ascii="Arial" w:eastAsia="Times New Roman" w:hAnsi="Arial" w:cs="Arial"/>
                <w:color w:val="000000"/>
                <w:lang w:eastAsia="en-GB"/>
              </w:rPr>
              <w:t>2.01%</w:t>
            </w:r>
          </w:p>
        </w:tc>
        <w:tc>
          <w:tcPr>
            <w:tcW w:w="1597" w:type="dxa"/>
            <w:tcBorders>
              <w:top w:val="nil"/>
              <w:left w:val="nil"/>
              <w:bottom w:val="nil"/>
              <w:right w:val="nil"/>
            </w:tcBorders>
            <w:shd w:val="clear" w:color="auto" w:fill="auto"/>
            <w:noWrap/>
            <w:vAlign w:val="bottom"/>
            <w:hideMark/>
          </w:tcPr>
          <w:p w14:paraId="26AE1E65" w14:textId="77777777" w:rsidR="002804C9" w:rsidRPr="002804C9" w:rsidRDefault="002804C9" w:rsidP="002804C9">
            <w:pPr>
              <w:spacing w:after="0" w:line="240" w:lineRule="auto"/>
              <w:jc w:val="center"/>
              <w:rPr>
                <w:rFonts w:ascii="Arial" w:eastAsia="Times New Roman" w:hAnsi="Arial" w:cs="Arial"/>
                <w:lang w:eastAsia="en-GB"/>
              </w:rPr>
            </w:pPr>
            <w:r w:rsidRPr="002804C9">
              <w:rPr>
                <w:rFonts w:ascii="Arial" w:eastAsia="Times New Roman" w:hAnsi="Arial" w:cs="Arial"/>
                <w:lang w:eastAsia="en-GB"/>
              </w:rPr>
              <w:t>On Call</w:t>
            </w:r>
          </w:p>
        </w:tc>
        <w:tc>
          <w:tcPr>
            <w:tcW w:w="1300" w:type="dxa"/>
            <w:tcBorders>
              <w:top w:val="nil"/>
              <w:left w:val="nil"/>
              <w:bottom w:val="nil"/>
              <w:right w:val="single" w:sz="4" w:space="0" w:color="auto"/>
            </w:tcBorders>
            <w:shd w:val="clear" w:color="auto" w:fill="auto"/>
            <w:noWrap/>
            <w:vAlign w:val="bottom"/>
            <w:hideMark/>
          </w:tcPr>
          <w:p w14:paraId="00D0E322" w14:textId="77777777" w:rsidR="002804C9" w:rsidRPr="002804C9" w:rsidRDefault="002804C9" w:rsidP="002804C9">
            <w:pPr>
              <w:spacing w:after="0" w:line="240" w:lineRule="auto"/>
              <w:jc w:val="center"/>
              <w:rPr>
                <w:rFonts w:ascii="Arial" w:eastAsia="Times New Roman" w:hAnsi="Arial" w:cs="Arial"/>
                <w:lang w:eastAsia="en-GB"/>
              </w:rPr>
            </w:pPr>
            <w:r w:rsidRPr="002804C9">
              <w:rPr>
                <w:rFonts w:ascii="Arial" w:eastAsia="Times New Roman" w:hAnsi="Arial" w:cs="Arial"/>
                <w:lang w:eastAsia="en-GB"/>
              </w:rPr>
              <w:t> </w:t>
            </w:r>
          </w:p>
        </w:tc>
      </w:tr>
      <w:tr w:rsidR="002804C9" w:rsidRPr="002804C9" w14:paraId="71D92705" w14:textId="77777777" w:rsidTr="002804C9">
        <w:trPr>
          <w:trHeight w:val="285"/>
        </w:trPr>
        <w:tc>
          <w:tcPr>
            <w:tcW w:w="3261" w:type="dxa"/>
            <w:tcBorders>
              <w:top w:val="nil"/>
              <w:left w:val="single" w:sz="4" w:space="0" w:color="auto"/>
              <w:bottom w:val="nil"/>
              <w:right w:val="nil"/>
            </w:tcBorders>
            <w:shd w:val="clear" w:color="auto" w:fill="auto"/>
            <w:noWrap/>
            <w:vAlign w:val="bottom"/>
            <w:hideMark/>
          </w:tcPr>
          <w:p w14:paraId="4EC020C8" w14:textId="77777777" w:rsidR="002804C9" w:rsidRPr="002804C9" w:rsidRDefault="002804C9" w:rsidP="002804C9">
            <w:pPr>
              <w:spacing w:after="0" w:line="240" w:lineRule="auto"/>
              <w:rPr>
                <w:rFonts w:ascii="Arial" w:eastAsia="Times New Roman" w:hAnsi="Arial" w:cs="Arial"/>
                <w:color w:val="000000"/>
                <w:lang w:eastAsia="en-GB"/>
              </w:rPr>
            </w:pPr>
            <w:r w:rsidRPr="002804C9">
              <w:rPr>
                <w:rFonts w:ascii="Arial" w:eastAsia="Times New Roman" w:hAnsi="Arial" w:cs="Arial"/>
                <w:color w:val="000000"/>
                <w:lang w:eastAsia="en-GB"/>
              </w:rPr>
              <w:t> </w:t>
            </w:r>
          </w:p>
        </w:tc>
        <w:tc>
          <w:tcPr>
            <w:tcW w:w="1117" w:type="dxa"/>
            <w:tcBorders>
              <w:top w:val="nil"/>
              <w:left w:val="nil"/>
              <w:bottom w:val="nil"/>
              <w:right w:val="nil"/>
            </w:tcBorders>
            <w:shd w:val="clear" w:color="auto" w:fill="auto"/>
            <w:noWrap/>
            <w:vAlign w:val="bottom"/>
            <w:hideMark/>
          </w:tcPr>
          <w:p w14:paraId="3BB67558" w14:textId="77777777" w:rsidR="002804C9" w:rsidRPr="002804C9" w:rsidRDefault="002804C9" w:rsidP="002804C9">
            <w:pPr>
              <w:spacing w:after="0" w:line="240" w:lineRule="auto"/>
              <w:rPr>
                <w:rFonts w:ascii="Arial" w:eastAsia="Times New Roman" w:hAnsi="Arial" w:cs="Arial"/>
                <w:color w:val="000000"/>
                <w:lang w:eastAsia="en-GB"/>
              </w:rPr>
            </w:pPr>
          </w:p>
        </w:tc>
        <w:tc>
          <w:tcPr>
            <w:tcW w:w="1047" w:type="dxa"/>
            <w:tcBorders>
              <w:top w:val="nil"/>
              <w:left w:val="nil"/>
              <w:bottom w:val="nil"/>
              <w:right w:val="nil"/>
            </w:tcBorders>
            <w:shd w:val="clear" w:color="auto" w:fill="auto"/>
            <w:noWrap/>
            <w:vAlign w:val="bottom"/>
            <w:hideMark/>
          </w:tcPr>
          <w:p w14:paraId="61C07EE4" w14:textId="77777777" w:rsidR="002804C9" w:rsidRPr="002804C9" w:rsidRDefault="002804C9" w:rsidP="002804C9">
            <w:pPr>
              <w:spacing w:after="0" w:line="240" w:lineRule="auto"/>
              <w:rPr>
                <w:rFonts w:ascii="Times New Roman" w:eastAsia="Times New Roman" w:hAnsi="Times New Roman" w:cs="Times New Roman"/>
                <w:sz w:val="20"/>
                <w:szCs w:val="20"/>
                <w:lang w:eastAsia="en-GB"/>
              </w:rPr>
            </w:pPr>
          </w:p>
        </w:tc>
        <w:tc>
          <w:tcPr>
            <w:tcW w:w="954" w:type="dxa"/>
            <w:tcBorders>
              <w:top w:val="nil"/>
              <w:left w:val="nil"/>
              <w:bottom w:val="nil"/>
              <w:right w:val="nil"/>
            </w:tcBorders>
            <w:shd w:val="clear" w:color="auto" w:fill="auto"/>
            <w:noWrap/>
            <w:vAlign w:val="bottom"/>
            <w:hideMark/>
          </w:tcPr>
          <w:p w14:paraId="30D0ED6F" w14:textId="77777777" w:rsidR="002804C9" w:rsidRPr="002804C9" w:rsidRDefault="002804C9" w:rsidP="002804C9">
            <w:pPr>
              <w:spacing w:after="0" w:line="240" w:lineRule="auto"/>
              <w:jc w:val="right"/>
              <w:rPr>
                <w:rFonts w:ascii="Times New Roman" w:eastAsia="Times New Roman" w:hAnsi="Times New Roman" w:cs="Times New Roman"/>
                <w:sz w:val="20"/>
                <w:szCs w:val="20"/>
                <w:lang w:eastAsia="en-GB"/>
              </w:rPr>
            </w:pPr>
          </w:p>
        </w:tc>
        <w:tc>
          <w:tcPr>
            <w:tcW w:w="1597" w:type="dxa"/>
            <w:tcBorders>
              <w:top w:val="nil"/>
              <w:left w:val="nil"/>
              <w:bottom w:val="nil"/>
              <w:right w:val="nil"/>
            </w:tcBorders>
            <w:shd w:val="clear" w:color="auto" w:fill="auto"/>
            <w:noWrap/>
            <w:vAlign w:val="bottom"/>
            <w:hideMark/>
          </w:tcPr>
          <w:p w14:paraId="5A3197C9" w14:textId="77777777" w:rsidR="002804C9" w:rsidRPr="002804C9" w:rsidRDefault="002804C9" w:rsidP="002804C9">
            <w:pPr>
              <w:spacing w:after="0" w:line="240" w:lineRule="auto"/>
              <w:jc w:val="center"/>
              <w:rPr>
                <w:rFonts w:ascii="Times New Roman" w:eastAsia="Times New Roman" w:hAnsi="Times New Roman" w:cs="Times New Roman"/>
                <w:sz w:val="20"/>
                <w:szCs w:val="20"/>
                <w:lang w:eastAsia="en-GB"/>
              </w:rPr>
            </w:pPr>
          </w:p>
        </w:tc>
        <w:tc>
          <w:tcPr>
            <w:tcW w:w="1300" w:type="dxa"/>
            <w:tcBorders>
              <w:top w:val="nil"/>
              <w:left w:val="nil"/>
              <w:bottom w:val="nil"/>
              <w:right w:val="single" w:sz="4" w:space="0" w:color="auto"/>
            </w:tcBorders>
            <w:shd w:val="clear" w:color="auto" w:fill="auto"/>
            <w:noWrap/>
            <w:vAlign w:val="bottom"/>
            <w:hideMark/>
          </w:tcPr>
          <w:p w14:paraId="3B98D967" w14:textId="77777777" w:rsidR="002804C9" w:rsidRPr="002804C9" w:rsidRDefault="002804C9" w:rsidP="002804C9">
            <w:pPr>
              <w:spacing w:after="0" w:line="240" w:lineRule="auto"/>
              <w:rPr>
                <w:rFonts w:ascii="Arial" w:eastAsia="Times New Roman" w:hAnsi="Arial" w:cs="Arial"/>
                <w:lang w:eastAsia="en-GB"/>
              </w:rPr>
            </w:pPr>
            <w:r w:rsidRPr="002804C9">
              <w:rPr>
                <w:rFonts w:ascii="Arial" w:eastAsia="Times New Roman" w:hAnsi="Arial" w:cs="Arial"/>
                <w:lang w:eastAsia="en-GB"/>
              </w:rPr>
              <w:t> </w:t>
            </w:r>
          </w:p>
        </w:tc>
      </w:tr>
      <w:tr w:rsidR="002804C9" w:rsidRPr="002804C9" w14:paraId="7AA651BA" w14:textId="77777777" w:rsidTr="002804C9">
        <w:trPr>
          <w:trHeight w:val="300"/>
        </w:trPr>
        <w:tc>
          <w:tcPr>
            <w:tcW w:w="3261" w:type="dxa"/>
            <w:tcBorders>
              <w:top w:val="nil"/>
              <w:left w:val="single" w:sz="4" w:space="0" w:color="auto"/>
              <w:bottom w:val="nil"/>
              <w:right w:val="nil"/>
            </w:tcBorders>
            <w:shd w:val="clear" w:color="auto" w:fill="auto"/>
            <w:noWrap/>
            <w:vAlign w:val="bottom"/>
            <w:hideMark/>
          </w:tcPr>
          <w:p w14:paraId="32BAEC85" w14:textId="77777777" w:rsidR="002804C9" w:rsidRPr="002804C9" w:rsidRDefault="002804C9" w:rsidP="002804C9">
            <w:pPr>
              <w:spacing w:after="0" w:line="240" w:lineRule="auto"/>
              <w:rPr>
                <w:rFonts w:ascii="Arial" w:eastAsia="Times New Roman" w:hAnsi="Arial" w:cs="Arial"/>
                <w:b/>
                <w:bCs/>
                <w:color w:val="000000"/>
                <w:lang w:eastAsia="en-GB"/>
              </w:rPr>
            </w:pPr>
            <w:r w:rsidRPr="002804C9">
              <w:rPr>
                <w:rFonts w:ascii="Arial" w:eastAsia="Times New Roman" w:hAnsi="Arial" w:cs="Arial"/>
                <w:b/>
                <w:bCs/>
                <w:color w:val="000000"/>
                <w:lang w:eastAsia="en-GB"/>
              </w:rPr>
              <w:t>Money Market Funds sub total</w:t>
            </w:r>
          </w:p>
        </w:tc>
        <w:tc>
          <w:tcPr>
            <w:tcW w:w="1117" w:type="dxa"/>
            <w:tcBorders>
              <w:top w:val="nil"/>
              <w:left w:val="nil"/>
              <w:bottom w:val="nil"/>
              <w:right w:val="nil"/>
            </w:tcBorders>
            <w:shd w:val="clear" w:color="auto" w:fill="auto"/>
            <w:noWrap/>
            <w:vAlign w:val="bottom"/>
            <w:hideMark/>
          </w:tcPr>
          <w:p w14:paraId="48106DFA" w14:textId="77777777" w:rsidR="002804C9" w:rsidRPr="002804C9" w:rsidRDefault="002804C9" w:rsidP="002804C9">
            <w:pPr>
              <w:spacing w:after="0" w:line="240" w:lineRule="auto"/>
              <w:rPr>
                <w:rFonts w:ascii="Arial" w:eastAsia="Times New Roman" w:hAnsi="Arial" w:cs="Arial"/>
                <w:b/>
                <w:bCs/>
                <w:color w:val="000000"/>
                <w:lang w:eastAsia="en-GB"/>
              </w:rPr>
            </w:pPr>
          </w:p>
        </w:tc>
        <w:tc>
          <w:tcPr>
            <w:tcW w:w="1047" w:type="dxa"/>
            <w:tcBorders>
              <w:top w:val="single" w:sz="4" w:space="0" w:color="auto"/>
              <w:left w:val="nil"/>
              <w:bottom w:val="nil"/>
              <w:right w:val="nil"/>
            </w:tcBorders>
            <w:shd w:val="clear" w:color="auto" w:fill="auto"/>
            <w:noWrap/>
            <w:vAlign w:val="bottom"/>
            <w:hideMark/>
          </w:tcPr>
          <w:p w14:paraId="3957EA7C" w14:textId="77777777" w:rsidR="002804C9" w:rsidRPr="002804C9" w:rsidRDefault="002804C9" w:rsidP="002804C9">
            <w:pPr>
              <w:spacing w:after="0" w:line="240" w:lineRule="auto"/>
              <w:jc w:val="right"/>
              <w:rPr>
                <w:rFonts w:ascii="Arial" w:eastAsia="Times New Roman" w:hAnsi="Arial" w:cs="Arial"/>
                <w:b/>
                <w:bCs/>
                <w:color w:val="000000"/>
                <w:lang w:eastAsia="en-GB"/>
              </w:rPr>
            </w:pPr>
            <w:r w:rsidRPr="002804C9">
              <w:rPr>
                <w:rFonts w:ascii="Arial" w:eastAsia="Times New Roman" w:hAnsi="Arial" w:cs="Arial"/>
                <w:b/>
                <w:bCs/>
                <w:color w:val="000000"/>
                <w:lang w:eastAsia="en-GB"/>
              </w:rPr>
              <w:t>14,900</w:t>
            </w:r>
          </w:p>
        </w:tc>
        <w:tc>
          <w:tcPr>
            <w:tcW w:w="954" w:type="dxa"/>
            <w:tcBorders>
              <w:top w:val="nil"/>
              <w:left w:val="nil"/>
              <w:bottom w:val="nil"/>
              <w:right w:val="nil"/>
            </w:tcBorders>
            <w:shd w:val="clear" w:color="auto" w:fill="auto"/>
            <w:noWrap/>
            <w:vAlign w:val="bottom"/>
            <w:hideMark/>
          </w:tcPr>
          <w:p w14:paraId="7CCB68A4" w14:textId="77777777" w:rsidR="002804C9" w:rsidRPr="002804C9" w:rsidRDefault="002804C9" w:rsidP="002804C9">
            <w:pPr>
              <w:spacing w:after="0" w:line="240" w:lineRule="auto"/>
              <w:jc w:val="right"/>
              <w:rPr>
                <w:rFonts w:ascii="Arial" w:eastAsia="Times New Roman" w:hAnsi="Arial" w:cs="Arial"/>
                <w:b/>
                <w:bCs/>
                <w:color w:val="000000"/>
                <w:lang w:eastAsia="en-GB"/>
              </w:rPr>
            </w:pPr>
          </w:p>
        </w:tc>
        <w:tc>
          <w:tcPr>
            <w:tcW w:w="1597" w:type="dxa"/>
            <w:tcBorders>
              <w:top w:val="nil"/>
              <w:left w:val="nil"/>
              <w:bottom w:val="nil"/>
              <w:right w:val="nil"/>
            </w:tcBorders>
            <w:shd w:val="clear" w:color="auto" w:fill="auto"/>
            <w:noWrap/>
            <w:vAlign w:val="bottom"/>
            <w:hideMark/>
          </w:tcPr>
          <w:p w14:paraId="227A545D" w14:textId="77777777" w:rsidR="002804C9" w:rsidRPr="002804C9" w:rsidRDefault="002804C9" w:rsidP="002804C9">
            <w:pPr>
              <w:spacing w:after="0" w:line="240" w:lineRule="auto"/>
              <w:jc w:val="center"/>
              <w:rPr>
                <w:rFonts w:ascii="Times New Roman" w:eastAsia="Times New Roman" w:hAnsi="Times New Roman" w:cs="Times New Roman"/>
                <w:sz w:val="20"/>
                <w:szCs w:val="20"/>
                <w:lang w:eastAsia="en-GB"/>
              </w:rPr>
            </w:pPr>
          </w:p>
        </w:tc>
        <w:tc>
          <w:tcPr>
            <w:tcW w:w="1300" w:type="dxa"/>
            <w:tcBorders>
              <w:top w:val="nil"/>
              <w:left w:val="nil"/>
              <w:bottom w:val="nil"/>
              <w:right w:val="single" w:sz="4" w:space="0" w:color="auto"/>
            </w:tcBorders>
            <w:shd w:val="clear" w:color="auto" w:fill="auto"/>
            <w:noWrap/>
            <w:vAlign w:val="bottom"/>
            <w:hideMark/>
          </w:tcPr>
          <w:p w14:paraId="4A034622" w14:textId="77777777" w:rsidR="002804C9" w:rsidRPr="002804C9" w:rsidRDefault="002804C9" w:rsidP="002804C9">
            <w:pPr>
              <w:spacing w:after="0" w:line="240" w:lineRule="auto"/>
              <w:rPr>
                <w:rFonts w:ascii="Arial" w:eastAsia="Times New Roman" w:hAnsi="Arial" w:cs="Arial"/>
                <w:lang w:eastAsia="en-GB"/>
              </w:rPr>
            </w:pPr>
            <w:r w:rsidRPr="002804C9">
              <w:rPr>
                <w:rFonts w:ascii="Arial" w:eastAsia="Times New Roman" w:hAnsi="Arial" w:cs="Arial"/>
                <w:lang w:eastAsia="en-GB"/>
              </w:rPr>
              <w:t> </w:t>
            </w:r>
          </w:p>
        </w:tc>
      </w:tr>
      <w:tr w:rsidR="002804C9" w:rsidRPr="002804C9" w14:paraId="645A152C" w14:textId="77777777" w:rsidTr="002804C9">
        <w:trPr>
          <w:trHeight w:val="285"/>
        </w:trPr>
        <w:tc>
          <w:tcPr>
            <w:tcW w:w="3261" w:type="dxa"/>
            <w:tcBorders>
              <w:top w:val="nil"/>
              <w:left w:val="single" w:sz="4" w:space="0" w:color="auto"/>
              <w:bottom w:val="nil"/>
              <w:right w:val="nil"/>
            </w:tcBorders>
            <w:shd w:val="clear" w:color="auto" w:fill="auto"/>
            <w:noWrap/>
            <w:vAlign w:val="bottom"/>
            <w:hideMark/>
          </w:tcPr>
          <w:p w14:paraId="599A426E" w14:textId="77777777" w:rsidR="002804C9" w:rsidRPr="002804C9" w:rsidRDefault="002804C9" w:rsidP="002804C9">
            <w:pPr>
              <w:spacing w:after="0" w:line="240" w:lineRule="auto"/>
              <w:rPr>
                <w:rFonts w:ascii="Arial" w:eastAsia="Times New Roman" w:hAnsi="Arial" w:cs="Arial"/>
                <w:color w:val="000000"/>
                <w:lang w:eastAsia="en-GB"/>
              </w:rPr>
            </w:pPr>
            <w:r w:rsidRPr="002804C9">
              <w:rPr>
                <w:rFonts w:ascii="Arial" w:eastAsia="Times New Roman" w:hAnsi="Arial" w:cs="Arial"/>
                <w:color w:val="000000"/>
                <w:lang w:eastAsia="en-GB"/>
              </w:rPr>
              <w:t> </w:t>
            </w:r>
          </w:p>
        </w:tc>
        <w:tc>
          <w:tcPr>
            <w:tcW w:w="1117" w:type="dxa"/>
            <w:tcBorders>
              <w:top w:val="nil"/>
              <w:left w:val="nil"/>
              <w:bottom w:val="nil"/>
              <w:right w:val="nil"/>
            </w:tcBorders>
            <w:shd w:val="clear" w:color="auto" w:fill="auto"/>
            <w:noWrap/>
            <w:vAlign w:val="bottom"/>
            <w:hideMark/>
          </w:tcPr>
          <w:p w14:paraId="0DF36B87" w14:textId="77777777" w:rsidR="002804C9" w:rsidRPr="002804C9" w:rsidRDefault="002804C9" w:rsidP="002804C9">
            <w:pPr>
              <w:spacing w:after="0" w:line="240" w:lineRule="auto"/>
              <w:rPr>
                <w:rFonts w:ascii="Arial" w:eastAsia="Times New Roman" w:hAnsi="Arial" w:cs="Arial"/>
                <w:color w:val="000000"/>
                <w:lang w:eastAsia="en-GB"/>
              </w:rPr>
            </w:pPr>
          </w:p>
        </w:tc>
        <w:tc>
          <w:tcPr>
            <w:tcW w:w="1047" w:type="dxa"/>
            <w:tcBorders>
              <w:top w:val="nil"/>
              <w:left w:val="nil"/>
              <w:bottom w:val="nil"/>
              <w:right w:val="nil"/>
            </w:tcBorders>
            <w:shd w:val="clear" w:color="auto" w:fill="auto"/>
            <w:noWrap/>
            <w:vAlign w:val="bottom"/>
            <w:hideMark/>
          </w:tcPr>
          <w:p w14:paraId="4E70CD4B" w14:textId="77777777" w:rsidR="002804C9" w:rsidRPr="002804C9" w:rsidRDefault="002804C9" w:rsidP="002804C9">
            <w:pPr>
              <w:spacing w:after="0" w:line="240" w:lineRule="auto"/>
              <w:rPr>
                <w:rFonts w:ascii="Times New Roman" w:eastAsia="Times New Roman" w:hAnsi="Times New Roman" w:cs="Times New Roman"/>
                <w:sz w:val="20"/>
                <w:szCs w:val="20"/>
                <w:lang w:eastAsia="en-GB"/>
              </w:rPr>
            </w:pPr>
          </w:p>
        </w:tc>
        <w:tc>
          <w:tcPr>
            <w:tcW w:w="954" w:type="dxa"/>
            <w:tcBorders>
              <w:top w:val="nil"/>
              <w:left w:val="nil"/>
              <w:bottom w:val="nil"/>
              <w:right w:val="nil"/>
            </w:tcBorders>
            <w:shd w:val="clear" w:color="auto" w:fill="auto"/>
            <w:noWrap/>
            <w:vAlign w:val="bottom"/>
            <w:hideMark/>
          </w:tcPr>
          <w:p w14:paraId="58809960" w14:textId="77777777" w:rsidR="002804C9" w:rsidRPr="002804C9" w:rsidRDefault="002804C9" w:rsidP="002804C9">
            <w:pPr>
              <w:spacing w:after="0" w:line="240" w:lineRule="auto"/>
              <w:jc w:val="right"/>
              <w:rPr>
                <w:rFonts w:ascii="Times New Roman" w:eastAsia="Times New Roman" w:hAnsi="Times New Roman" w:cs="Times New Roman"/>
                <w:sz w:val="20"/>
                <w:szCs w:val="20"/>
                <w:lang w:eastAsia="en-GB"/>
              </w:rPr>
            </w:pPr>
          </w:p>
        </w:tc>
        <w:tc>
          <w:tcPr>
            <w:tcW w:w="1597" w:type="dxa"/>
            <w:tcBorders>
              <w:top w:val="nil"/>
              <w:left w:val="nil"/>
              <w:bottom w:val="nil"/>
              <w:right w:val="nil"/>
            </w:tcBorders>
            <w:shd w:val="clear" w:color="auto" w:fill="auto"/>
            <w:noWrap/>
            <w:vAlign w:val="bottom"/>
            <w:hideMark/>
          </w:tcPr>
          <w:p w14:paraId="5888DDA0" w14:textId="77777777" w:rsidR="002804C9" w:rsidRPr="002804C9" w:rsidRDefault="002804C9" w:rsidP="002804C9">
            <w:pPr>
              <w:spacing w:after="0" w:line="240" w:lineRule="auto"/>
              <w:jc w:val="center"/>
              <w:rPr>
                <w:rFonts w:ascii="Times New Roman" w:eastAsia="Times New Roman" w:hAnsi="Times New Roman" w:cs="Times New Roman"/>
                <w:sz w:val="20"/>
                <w:szCs w:val="20"/>
                <w:lang w:eastAsia="en-GB"/>
              </w:rPr>
            </w:pPr>
          </w:p>
        </w:tc>
        <w:tc>
          <w:tcPr>
            <w:tcW w:w="1300" w:type="dxa"/>
            <w:tcBorders>
              <w:top w:val="nil"/>
              <w:left w:val="nil"/>
              <w:bottom w:val="nil"/>
              <w:right w:val="single" w:sz="4" w:space="0" w:color="auto"/>
            </w:tcBorders>
            <w:shd w:val="clear" w:color="auto" w:fill="auto"/>
            <w:noWrap/>
            <w:vAlign w:val="bottom"/>
            <w:hideMark/>
          </w:tcPr>
          <w:p w14:paraId="15AB3698" w14:textId="77777777" w:rsidR="002804C9" w:rsidRPr="002804C9" w:rsidRDefault="002804C9" w:rsidP="002804C9">
            <w:pPr>
              <w:spacing w:after="0" w:line="240" w:lineRule="auto"/>
              <w:rPr>
                <w:rFonts w:ascii="Arial" w:eastAsia="Times New Roman" w:hAnsi="Arial" w:cs="Arial"/>
                <w:color w:val="000000"/>
                <w:lang w:eastAsia="en-GB"/>
              </w:rPr>
            </w:pPr>
            <w:r w:rsidRPr="002804C9">
              <w:rPr>
                <w:rFonts w:ascii="Arial" w:eastAsia="Times New Roman" w:hAnsi="Arial" w:cs="Arial"/>
                <w:color w:val="000000"/>
                <w:lang w:eastAsia="en-GB"/>
              </w:rPr>
              <w:t> </w:t>
            </w:r>
          </w:p>
        </w:tc>
      </w:tr>
      <w:tr w:rsidR="002804C9" w:rsidRPr="002804C9" w14:paraId="0354115D" w14:textId="77777777" w:rsidTr="002804C9">
        <w:trPr>
          <w:trHeight w:val="315"/>
        </w:trPr>
        <w:tc>
          <w:tcPr>
            <w:tcW w:w="3261" w:type="dxa"/>
            <w:tcBorders>
              <w:top w:val="nil"/>
              <w:left w:val="single" w:sz="4" w:space="0" w:color="auto"/>
              <w:bottom w:val="nil"/>
              <w:right w:val="nil"/>
            </w:tcBorders>
            <w:shd w:val="clear" w:color="auto" w:fill="auto"/>
            <w:noWrap/>
            <w:vAlign w:val="bottom"/>
            <w:hideMark/>
          </w:tcPr>
          <w:p w14:paraId="6EEB1C69" w14:textId="77777777" w:rsidR="002804C9" w:rsidRPr="002804C9" w:rsidRDefault="002804C9" w:rsidP="002804C9">
            <w:pPr>
              <w:spacing w:after="0" w:line="240" w:lineRule="auto"/>
              <w:rPr>
                <w:rFonts w:ascii="Arial" w:eastAsia="Times New Roman" w:hAnsi="Arial" w:cs="Arial"/>
                <w:b/>
                <w:bCs/>
                <w:color w:val="000000"/>
                <w:lang w:eastAsia="en-GB"/>
              </w:rPr>
            </w:pPr>
            <w:r w:rsidRPr="002804C9">
              <w:rPr>
                <w:rFonts w:ascii="Arial" w:eastAsia="Times New Roman" w:hAnsi="Arial" w:cs="Arial"/>
                <w:b/>
                <w:bCs/>
                <w:color w:val="000000"/>
                <w:lang w:eastAsia="en-GB"/>
              </w:rPr>
              <w:t>Total</w:t>
            </w:r>
          </w:p>
        </w:tc>
        <w:tc>
          <w:tcPr>
            <w:tcW w:w="1117" w:type="dxa"/>
            <w:tcBorders>
              <w:top w:val="nil"/>
              <w:left w:val="nil"/>
              <w:bottom w:val="nil"/>
              <w:right w:val="nil"/>
            </w:tcBorders>
            <w:shd w:val="clear" w:color="auto" w:fill="auto"/>
            <w:noWrap/>
            <w:vAlign w:val="bottom"/>
            <w:hideMark/>
          </w:tcPr>
          <w:p w14:paraId="4CADE9C5" w14:textId="77777777" w:rsidR="002804C9" w:rsidRPr="002804C9" w:rsidRDefault="002804C9" w:rsidP="002804C9">
            <w:pPr>
              <w:spacing w:after="0" w:line="240" w:lineRule="auto"/>
              <w:rPr>
                <w:rFonts w:ascii="Arial" w:eastAsia="Times New Roman" w:hAnsi="Arial" w:cs="Arial"/>
                <w:b/>
                <w:bCs/>
                <w:color w:val="000000"/>
                <w:lang w:eastAsia="en-GB"/>
              </w:rPr>
            </w:pPr>
          </w:p>
        </w:tc>
        <w:tc>
          <w:tcPr>
            <w:tcW w:w="1047" w:type="dxa"/>
            <w:tcBorders>
              <w:top w:val="single" w:sz="4" w:space="0" w:color="auto"/>
              <w:left w:val="nil"/>
              <w:bottom w:val="double" w:sz="6" w:space="0" w:color="auto"/>
              <w:right w:val="nil"/>
            </w:tcBorders>
            <w:shd w:val="clear" w:color="auto" w:fill="auto"/>
            <w:noWrap/>
            <w:vAlign w:val="bottom"/>
            <w:hideMark/>
          </w:tcPr>
          <w:p w14:paraId="46EE0DB2" w14:textId="77777777" w:rsidR="002804C9" w:rsidRPr="002804C9" w:rsidRDefault="002804C9" w:rsidP="002804C9">
            <w:pPr>
              <w:spacing w:after="0" w:line="240" w:lineRule="auto"/>
              <w:jc w:val="right"/>
              <w:rPr>
                <w:rFonts w:ascii="Arial" w:eastAsia="Times New Roman" w:hAnsi="Arial" w:cs="Arial"/>
                <w:b/>
                <w:bCs/>
                <w:color w:val="000000"/>
                <w:lang w:eastAsia="en-GB"/>
              </w:rPr>
            </w:pPr>
            <w:r w:rsidRPr="002804C9">
              <w:rPr>
                <w:rFonts w:ascii="Arial" w:eastAsia="Times New Roman" w:hAnsi="Arial" w:cs="Arial"/>
                <w:b/>
                <w:bCs/>
                <w:color w:val="000000"/>
                <w:lang w:eastAsia="en-GB"/>
              </w:rPr>
              <w:t>53,900</w:t>
            </w:r>
          </w:p>
        </w:tc>
        <w:tc>
          <w:tcPr>
            <w:tcW w:w="954" w:type="dxa"/>
            <w:tcBorders>
              <w:top w:val="nil"/>
              <w:left w:val="nil"/>
              <w:bottom w:val="nil"/>
              <w:right w:val="nil"/>
            </w:tcBorders>
            <w:shd w:val="clear" w:color="auto" w:fill="auto"/>
            <w:noWrap/>
            <w:vAlign w:val="bottom"/>
            <w:hideMark/>
          </w:tcPr>
          <w:p w14:paraId="35904B6B" w14:textId="77777777" w:rsidR="002804C9" w:rsidRPr="002804C9" w:rsidRDefault="002804C9" w:rsidP="002804C9">
            <w:pPr>
              <w:spacing w:after="0" w:line="240" w:lineRule="auto"/>
              <w:jc w:val="right"/>
              <w:rPr>
                <w:rFonts w:ascii="Arial" w:eastAsia="Times New Roman" w:hAnsi="Arial" w:cs="Arial"/>
                <w:b/>
                <w:bCs/>
                <w:color w:val="000000"/>
                <w:lang w:eastAsia="en-GB"/>
              </w:rPr>
            </w:pPr>
          </w:p>
        </w:tc>
        <w:tc>
          <w:tcPr>
            <w:tcW w:w="1597" w:type="dxa"/>
            <w:tcBorders>
              <w:top w:val="nil"/>
              <w:left w:val="nil"/>
              <w:bottom w:val="nil"/>
              <w:right w:val="nil"/>
            </w:tcBorders>
            <w:shd w:val="clear" w:color="auto" w:fill="auto"/>
            <w:noWrap/>
            <w:vAlign w:val="bottom"/>
            <w:hideMark/>
          </w:tcPr>
          <w:p w14:paraId="7BAA14F8" w14:textId="77777777" w:rsidR="002804C9" w:rsidRPr="002804C9" w:rsidRDefault="002804C9" w:rsidP="002804C9">
            <w:pPr>
              <w:spacing w:after="0" w:line="240" w:lineRule="auto"/>
              <w:jc w:val="center"/>
              <w:rPr>
                <w:rFonts w:ascii="Times New Roman" w:eastAsia="Times New Roman" w:hAnsi="Times New Roman" w:cs="Times New Roman"/>
                <w:sz w:val="20"/>
                <w:szCs w:val="20"/>
                <w:lang w:eastAsia="en-GB"/>
              </w:rPr>
            </w:pPr>
          </w:p>
        </w:tc>
        <w:tc>
          <w:tcPr>
            <w:tcW w:w="1300" w:type="dxa"/>
            <w:tcBorders>
              <w:top w:val="nil"/>
              <w:left w:val="nil"/>
              <w:bottom w:val="nil"/>
              <w:right w:val="single" w:sz="4" w:space="0" w:color="auto"/>
            </w:tcBorders>
            <w:shd w:val="clear" w:color="auto" w:fill="auto"/>
            <w:noWrap/>
            <w:vAlign w:val="bottom"/>
            <w:hideMark/>
          </w:tcPr>
          <w:p w14:paraId="46F36AC6" w14:textId="77777777" w:rsidR="002804C9" w:rsidRPr="002804C9" w:rsidRDefault="002804C9" w:rsidP="002804C9">
            <w:pPr>
              <w:spacing w:after="0" w:line="240" w:lineRule="auto"/>
              <w:rPr>
                <w:rFonts w:ascii="Arial" w:eastAsia="Times New Roman" w:hAnsi="Arial" w:cs="Arial"/>
                <w:color w:val="000000"/>
                <w:lang w:eastAsia="en-GB"/>
              </w:rPr>
            </w:pPr>
            <w:r w:rsidRPr="002804C9">
              <w:rPr>
                <w:rFonts w:ascii="Arial" w:eastAsia="Times New Roman" w:hAnsi="Arial" w:cs="Arial"/>
                <w:color w:val="000000"/>
                <w:lang w:eastAsia="en-GB"/>
              </w:rPr>
              <w:t> </w:t>
            </w:r>
          </w:p>
        </w:tc>
      </w:tr>
      <w:tr w:rsidR="002804C9" w:rsidRPr="002804C9" w14:paraId="78735800" w14:textId="77777777" w:rsidTr="002804C9">
        <w:trPr>
          <w:trHeight w:val="315"/>
        </w:trPr>
        <w:tc>
          <w:tcPr>
            <w:tcW w:w="3261" w:type="dxa"/>
            <w:tcBorders>
              <w:top w:val="nil"/>
              <w:left w:val="single" w:sz="4" w:space="0" w:color="auto"/>
              <w:bottom w:val="single" w:sz="4" w:space="0" w:color="auto"/>
              <w:right w:val="nil"/>
            </w:tcBorders>
            <w:shd w:val="clear" w:color="auto" w:fill="auto"/>
            <w:noWrap/>
            <w:vAlign w:val="bottom"/>
            <w:hideMark/>
          </w:tcPr>
          <w:p w14:paraId="4B2AD1AF" w14:textId="77777777" w:rsidR="002804C9" w:rsidRPr="002804C9" w:rsidRDefault="002804C9" w:rsidP="002804C9">
            <w:pPr>
              <w:spacing w:after="0" w:line="240" w:lineRule="auto"/>
              <w:rPr>
                <w:rFonts w:ascii="Arial" w:eastAsia="Times New Roman" w:hAnsi="Arial" w:cs="Arial"/>
                <w:b/>
                <w:bCs/>
                <w:color w:val="000000"/>
                <w:lang w:eastAsia="en-GB"/>
              </w:rPr>
            </w:pPr>
            <w:r w:rsidRPr="002804C9">
              <w:rPr>
                <w:rFonts w:ascii="Arial" w:eastAsia="Times New Roman" w:hAnsi="Arial" w:cs="Arial"/>
                <w:b/>
                <w:bCs/>
                <w:color w:val="000000"/>
                <w:lang w:eastAsia="en-GB"/>
              </w:rPr>
              <w:t> </w:t>
            </w:r>
          </w:p>
        </w:tc>
        <w:tc>
          <w:tcPr>
            <w:tcW w:w="1117" w:type="dxa"/>
            <w:tcBorders>
              <w:top w:val="nil"/>
              <w:left w:val="nil"/>
              <w:bottom w:val="single" w:sz="4" w:space="0" w:color="auto"/>
              <w:right w:val="nil"/>
            </w:tcBorders>
            <w:shd w:val="clear" w:color="auto" w:fill="auto"/>
            <w:noWrap/>
            <w:vAlign w:val="bottom"/>
            <w:hideMark/>
          </w:tcPr>
          <w:p w14:paraId="44BB098F" w14:textId="77777777" w:rsidR="002804C9" w:rsidRPr="002804C9" w:rsidRDefault="002804C9" w:rsidP="002804C9">
            <w:pPr>
              <w:spacing w:after="0" w:line="240" w:lineRule="auto"/>
              <w:rPr>
                <w:rFonts w:ascii="Arial" w:eastAsia="Times New Roman" w:hAnsi="Arial" w:cs="Arial"/>
                <w:color w:val="000000"/>
                <w:lang w:eastAsia="en-GB"/>
              </w:rPr>
            </w:pPr>
            <w:r w:rsidRPr="002804C9">
              <w:rPr>
                <w:rFonts w:ascii="Arial" w:eastAsia="Times New Roman" w:hAnsi="Arial" w:cs="Arial"/>
                <w:color w:val="000000"/>
                <w:lang w:eastAsia="en-GB"/>
              </w:rPr>
              <w:t> </w:t>
            </w:r>
          </w:p>
        </w:tc>
        <w:tc>
          <w:tcPr>
            <w:tcW w:w="1047" w:type="dxa"/>
            <w:tcBorders>
              <w:top w:val="nil"/>
              <w:left w:val="nil"/>
              <w:bottom w:val="single" w:sz="4" w:space="0" w:color="auto"/>
              <w:right w:val="nil"/>
            </w:tcBorders>
            <w:shd w:val="clear" w:color="auto" w:fill="auto"/>
            <w:noWrap/>
            <w:vAlign w:val="bottom"/>
            <w:hideMark/>
          </w:tcPr>
          <w:p w14:paraId="566A7B67" w14:textId="77777777" w:rsidR="002804C9" w:rsidRPr="002804C9" w:rsidRDefault="002804C9" w:rsidP="002804C9">
            <w:pPr>
              <w:spacing w:after="0" w:line="240" w:lineRule="auto"/>
              <w:jc w:val="right"/>
              <w:rPr>
                <w:rFonts w:ascii="Arial" w:eastAsia="Times New Roman" w:hAnsi="Arial" w:cs="Arial"/>
                <w:b/>
                <w:bCs/>
                <w:color w:val="000000"/>
                <w:lang w:eastAsia="en-GB"/>
              </w:rPr>
            </w:pPr>
            <w:r w:rsidRPr="002804C9">
              <w:rPr>
                <w:rFonts w:ascii="Arial" w:eastAsia="Times New Roman" w:hAnsi="Arial" w:cs="Arial"/>
                <w:b/>
                <w:bCs/>
                <w:color w:val="000000"/>
                <w:lang w:eastAsia="en-GB"/>
              </w:rPr>
              <w:t> </w:t>
            </w:r>
          </w:p>
        </w:tc>
        <w:tc>
          <w:tcPr>
            <w:tcW w:w="954" w:type="dxa"/>
            <w:tcBorders>
              <w:top w:val="nil"/>
              <w:left w:val="nil"/>
              <w:bottom w:val="single" w:sz="4" w:space="0" w:color="auto"/>
              <w:right w:val="nil"/>
            </w:tcBorders>
            <w:shd w:val="clear" w:color="auto" w:fill="auto"/>
            <w:noWrap/>
            <w:vAlign w:val="bottom"/>
            <w:hideMark/>
          </w:tcPr>
          <w:p w14:paraId="4E0D110F" w14:textId="77777777" w:rsidR="002804C9" w:rsidRPr="002804C9" w:rsidRDefault="002804C9" w:rsidP="002804C9">
            <w:pPr>
              <w:spacing w:after="0" w:line="240" w:lineRule="auto"/>
              <w:jc w:val="center"/>
              <w:rPr>
                <w:rFonts w:ascii="Arial" w:eastAsia="Times New Roman" w:hAnsi="Arial" w:cs="Arial"/>
                <w:color w:val="000000"/>
                <w:lang w:eastAsia="en-GB"/>
              </w:rPr>
            </w:pPr>
            <w:r w:rsidRPr="002804C9">
              <w:rPr>
                <w:rFonts w:ascii="Arial" w:eastAsia="Times New Roman" w:hAnsi="Arial" w:cs="Arial"/>
                <w:color w:val="000000"/>
                <w:lang w:eastAsia="en-GB"/>
              </w:rPr>
              <w:t> </w:t>
            </w:r>
          </w:p>
        </w:tc>
        <w:tc>
          <w:tcPr>
            <w:tcW w:w="1597" w:type="dxa"/>
            <w:tcBorders>
              <w:top w:val="nil"/>
              <w:left w:val="nil"/>
              <w:bottom w:val="single" w:sz="4" w:space="0" w:color="auto"/>
              <w:right w:val="nil"/>
            </w:tcBorders>
            <w:shd w:val="clear" w:color="auto" w:fill="auto"/>
            <w:noWrap/>
            <w:vAlign w:val="bottom"/>
            <w:hideMark/>
          </w:tcPr>
          <w:p w14:paraId="665442D7" w14:textId="77777777" w:rsidR="002804C9" w:rsidRPr="002804C9" w:rsidRDefault="002804C9" w:rsidP="002804C9">
            <w:pPr>
              <w:spacing w:after="0" w:line="240" w:lineRule="auto"/>
              <w:rPr>
                <w:rFonts w:ascii="Arial" w:eastAsia="Times New Roman" w:hAnsi="Arial" w:cs="Arial"/>
                <w:lang w:eastAsia="en-GB"/>
              </w:rPr>
            </w:pPr>
            <w:r w:rsidRPr="002804C9">
              <w:rPr>
                <w:rFonts w:ascii="Arial" w:eastAsia="Times New Roman" w:hAnsi="Arial" w:cs="Arial"/>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951C81" w14:textId="77777777" w:rsidR="002804C9" w:rsidRPr="002804C9" w:rsidRDefault="002804C9" w:rsidP="002804C9">
            <w:pPr>
              <w:spacing w:after="0" w:line="240" w:lineRule="auto"/>
              <w:rPr>
                <w:rFonts w:ascii="Arial" w:eastAsia="Times New Roman" w:hAnsi="Arial" w:cs="Arial"/>
                <w:color w:val="000000"/>
                <w:lang w:eastAsia="en-GB"/>
              </w:rPr>
            </w:pPr>
            <w:r w:rsidRPr="002804C9">
              <w:rPr>
                <w:rFonts w:ascii="Arial" w:eastAsia="Times New Roman" w:hAnsi="Arial" w:cs="Arial"/>
                <w:color w:val="000000"/>
                <w:lang w:eastAsia="en-GB"/>
              </w:rPr>
              <w:t> </w:t>
            </w:r>
          </w:p>
        </w:tc>
      </w:tr>
    </w:tbl>
    <w:p w14:paraId="3F96B2C9" w14:textId="77777777" w:rsidR="002804C9" w:rsidRDefault="002804C9" w:rsidP="0072268D">
      <w:pPr>
        <w:pStyle w:val="ListParagraph"/>
        <w:pBdr>
          <w:top w:val="single" w:sz="2" w:space="1" w:color="FFFFFF"/>
          <w:left w:val="single" w:sz="2" w:space="0" w:color="FFFFFF"/>
          <w:bottom w:val="single" w:sz="2" w:space="2" w:color="FFFFFF"/>
          <w:right w:val="single" w:sz="2" w:space="4" w:color="FFFFFF"/>
        </w:pBdr>
        <w:spacing w:after="0" w:line="240" w:lineRule="auto"/>
        <w:ind w:left="567" w:right="142"/>
        <w:jc w:val="both"/>
        <w:rPr>
          <w:rFonts w:cstheme="minorHAnsi"/>
        </w:rPr>
      </w:pPr>
    </w:p>
    <w:p w14:paraId="3C37D6A3" w14:textId="77777777" w:rsidR="002804C9" w:rsidRPr="00386C64" w:rsidRDefault="002804C9" w:rsidP="0072268D">
      <w:pPr>
        <w:pStyle w:val="ListParagraph"/>
        <w:pBdr>
          <w:top w:val="single" w:sz="2" w:space="1" w:color="FFFFFF"/>
          <w:left w:val="single" w:sz="2" w:space="0" w:color="FFFFFF"/>
          <w:bottom w:val="single" w:sz="2" w:space="2" w:color="FFFFFF"/>
          <w:right w:val="single" w:sz="2" w:space="4" w:color="FFFFFF"/>
        </w:pBdr>
        <w:spacing w:after="0" w:line="240" w:lineRule="auto"/>
        <w:ind w:left="567" w:right="142"/>
        <w:jc w:val="both"/>
        <w:rPr>
          <w:rFonts w:cstheme="minorHAnsi"/>
        </w:rPr>
      </w:pPr>
    </w:p>
    <w:p w14:paraId="3D190C9D" w14:textId="68873A13" w:rsidR="000A5EC7" w:rsidRPr="00386C64" w:rsidRDefault="005D472A" w:rsidP="000A5EC7">
      <w:pPr>
        <w:pBdr>
          <w:top w:val="single" w:sz="2" w:space="1" w:color="FFFFFF"/>
          <w:left w:val="single" w:sz="2" w:space="0" w:color="FFFFFF"/>
          <w:bottom w:val="single" w:sz="2" w:space="2" w:color="FFFFFF"/>
          <w:right w:val="single" w:sz="2" w:space="4" w:color="FFFFFF"/>
        </w:pBdr>
        <w:tabs>
          <w:tab w:val="left" w:pos="567"/>
        </w:tabs>
        <w:ind w:left="1134" w:right="142" w:hanging="567"/>
        <w:rPr>
          <w:rFonts w:cstheme="minorHAnsi"/>
        </w:rPr>
      </w:pPr>
      <w:r>
        <w:rPr>
          <w:rFonts w:cstheme="minorHAnsi"/>
        </w:rPr>
        <w:t>T</w:t>
      </w:r>
      <w:r w:rsidR="000A5EC7" w:rsidRPr="00386C64">
        <w:rPr>
          <w:rFonts w:cstheme="minorHAnsi"/>
        </w:rPr>
        <w:t xml:space="preserve">hese investments are </w:t>
      </w:r>
      <w:r w:rsidR="000A5EC7" w:rsidRPr="00386C64">
        <w:rPr>
          <w:rFonts w:cstheme="minorHAnsi"/>
          <w:u w:val="single"/>
        </w:rPr>
        <w:t>within</w:t>
      </w:r>
      <w:r w:rsidR="000A5EC7" w:rsidRPr="00386C64">
        <w:rPr>
          <w:rFonts w:cstheme="minorHAnsi"/>
        </w:rPr>
        <w:t xml:space="preserve"> the approved Counterparty Limits outlined at </w:t>
      </w:r>
      <w:r w:rsidR="000A5EC7" w:rsidRPr="00D8254A">
        <w:rPr>
          <w:rFonts w:cstheme="minorHAnsi"/>
          <w:b/>
          <w:bCs/>
          <w:i/>
          <w:iCs/>
        </w:rPr>
        <w:t xml:space="preserve">Appendix </w:t>
      </w:r>
      <w:r w:rsidR="00036425" w:rsidRPr="00D8254A">
        <w:rPr>
          <w:rFonts w:cstheme="minorHAnsi"/>
          <w:b/>
          <w:bCs/>
          <w:i/>
          <w:iCs/>
        </w:rPr>
        <w:t>A</w:t>
      </w:r>
      <w:r w:rsidR="00036425">
        <w:rPr>
          <w:rFonts w:cstheme="minorHAnsi"/>
        </w:rPr>
        <w:t>.</w:t>
      </w:r>
    </w:p>
    <w:p w14:paraId="45BBEB1C" w14:textId="77777777" w:rsidR="000A5EC7" w:rsidRPr="00386C64" w:rsidRDefault="000A5EC7" w:rsidP="000A5EC7">
      <w:pPr>
        <w:pStyle w:val="Heading2"/>
        <w:rPr>
          <w:rFonts w:asciiTheme="minorHAnsi" w:hAnsiTheme="minorHAnsi" w:cstheme="minorHAnsi"/>
          <w:sz w:val="22"/>
          <w:szCs w:val="22"/>
        </w:rPr>
      </w:pPr>
      <w:r w:rsidRPr="00386C64">
        <w:rPr>
          <w:rFonts w:asciiTheme="minorHAnsi" w:hAnsiTheme="minorHAnsi" w:cstheme="minorHAnsi"/>
          <w:sz w:val="22"/>
          <w:szCs w:val="22"/>
        </w:rPr>
        <w:t>Advice of Link Asset Services</w:t>
      </w:r>
    </w:p>
    <w:p w14:paraId="4BC8EFF9" w14:textId="157DB5B6" w:rsidR="000A5EC7" w:rsidRPr="00D8254A" w:rsidRDefault="000A5EC7" w:rsidP="000A5EC7">
      <w:pPr>
        <w:pStyle w:val="ListParagraph"/>
        <w:numPr>
          <w:ilvl w:val="0"/>
          <w:numId w:val="20"/>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theme="minorHAnsi"/>
          <w:b/>
          <w:bCs/>
          <w:i/>
          <w:iCs/>
        </w:rPr>
      </w:pPr>
      <w:r w:rsidRPr="00386C64">
        <w:rPr>
          <w:rFonts w:cstheme="minorHAnsi"/>
        </w:rPr>
        <w:t xml:space="preserve">Link Asset Services’ assessment of the Economy and Interest Rates is presented at </w:t>
      </w:r>
      <w:r w:rsidRPr="00D8254A">
        <w:rPr>
          <w:rFonts w:cstheme="minorHAnsi"/>
          <w:b/>
          <w:bCs/>
          <w:i/>
          <w:iCs/>
        </w:rPr>
        <w:t xml:space="preserve">Appendices </w:t>
      </w:r>
      <w:r w:rsidR="00036425" w:rsidRPr="00D8254A">
        <w:rPr>
          <w:rFonts w:cstheme="minorHAnsi"/>
          <w:b/>
          <w:bCs/>
          <w:i/>
          <w:iCs/>
        </w:rPr>
        <w:t>B</w:t>
      </w:r>
      <w:r w:rsidRPr="00D8254A">
        <w:rPr>
          <w:rFonts w:cstheme="minorHAnsi"/>
          <w:b/>
          <w:bCs/>
          <w:i/>
          <w:iCs/>
        </w:rPr>
        <w:t xml:space="preserve"> &amp; </w:t>
      </w:r>
      <w:r w:rsidR="00036425" w:rsidRPr="00D8254A">
        <w:rPr>
          <w:rFonts w:cstheme="minorHAnsi"/>
          <w:b/>
          <w:bCs/>
          <w:i/>
          <w:iCs/>
        </w:rPr>
        <w:t>C</w:t>
      </w:r>
      <w:r w:rsidRPr="00D8254A">
        <w:rPr>
          <w:rFonts w:cstheme="minorHAnsi"/>
          <w:b/>
          <w:bCs/>
          <w:i/>
          <w:iCs/>
        </w:rPr>
        <w:t>.</w:t>
      </w:r>
    </w:p>
    <w:p w14:paraId="76AB127F" w14:textId="77777777" w:rsidR="000A5EC7" w:rsidRPr="00386C64" w:rsidRDefault="000A5EC7" w:rsidP="000A5EC7">
      <w:pPr>
        <w:pStyle w:val="ListParagraph"/>
        <w:pBdr>
          <w:top w:val="single" w:sz="2" w:space="1" w:color="FFFFFF"/>
          <w:left w:val="single" w:sz="2" w:space="0" w:color="FFFFFF"/>
          <w:bottom w:val="single" w:sz="2" w:space="2" w:color="FFFFFF"/>
          <w:right w:val="single" w:sz="2" w:space="4" w:color="FFFFFF"/>
        </w:pBdr>
        <w:ind w:left="567" w:right="141"/>
        <w:rPr>
          <w:rFonts w:cstheme="minorHAnsi"/>
        </w:rPr>
      </w:pPr>
    </w:p>
    <w:p w14:paraId="6E186331" w14:textId="77777777" w:rsidR="00A617CA" w:rsidRPr="00FF08F1" w:rsidRDefault="00A617CA" w:rsidP="00A617CA">
      <w:pPr>
        <w:pStyle w:val="ListParagraph"/>
        <w:numPr>
          <w:ilvl w:val="0"/>
          <w:numId w:val="20"/>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t xml:space="preserve">Latest forecasts show PWLB borrowing rates peaking December 2022 - March 2023 then gradually reducing, however the volatility of world and domestic markets must be stressed.  </w:t>
      </w:r>
    </w:p>
    <w:p w14:paraId="49BEBC9A" w14:textId="77777777" w:rsidR="00301A08" w:rsidRDefault="00301A08" w:rsidP="000A5EC7">
      <w:pPr>
        <w:pBdr>
          <w:top w:val="single" w:sz="2" w:space="1" w:color="FFFFFF"/>
          <w:left w:val="single" w:sz="2" w:space="0" w:color="FFFFFF"/>
          <w:bottom w:val="single" w:sz="2" w:space="2" w:color="FFFFFF"/>
          <w:right w:val="single" w:sz="2" w:space="4" w:color="FFFFFF"/>
        </w:pBdr>
        <w:ind w:right="141"/>
        <w:rPr>
          <w:rFonts w:cstheme="minorHAnsi"/>
          <w:b/>
          <w:bCs/>
          <w:color w:val="4F81BD" w:themeColor="accent1"/>
        </w:rPr>
      </w:pPr>
    </w:p>
    <w:p w14:paraId="7F6B2D0F" w14:textId="18A6956A" w:rsidR="000A5EC7" w:rsidRPr="00386C64" w:rsidRDefault="000A5EC7" w:rsidP="000A5EC7">
      <w:pPr>
        <w:pBdr>
          <w:top w:val="single" w:sz="2" w:space="1" w:color="FFFFFF"/>
          <w:left w:val="single" w:sz="2" w:space="0" w:color="FFFFFF"/>
          <w:bottom w:val="single" w:sz="2" w:space="2" w:color="FFFFFF"/>
          <w:right w:val="single" w:sz="2" w:space="4" w:color="FFFFFF"/>
        </w:pBdr>
        <w:ind w:right="141"/>
        <w:rPr>
          <w:rFonts w:cstheme="minorHAnsi"/>
          <w:b/>
          <w:bCs/>
        </w:rPr>
      </w:pPr>
      <w:r w:rsidRPr="00386C64">
        <w:rPr>
          <w:rFonts w:cstheme="minorHAnsi"/>
          <w:b/>
          <w:bCs/>
        </w:rPr>
        <w:t>Summary</w:t>
      </w:r>
    </w:p>
    <w:p w14:paraId="6F60C7E5" w14:textId="77777777" w:rsidR="000A5EC7" w:rsidRPr="00386C64" w:rsidRDefault="000A5EC7" w:rsidP="000A5EC7">
      <w:pPr>
        <w:pStyle w:val="ListParagraph"/>
        <w:numPr>
          <w:ilvl w:val="0"/>
          <w:numId w:val="20"/>
        </w:numPr>
        <w:pBdr>
          <w:top w:val="single" w:sz="2" w:space="1" w:color="FFFFFF"/>
          <w:left w:val="single" w:sz="2" w:space="0" w:color="FFFFFF"/>
          <w:bottom w:val="single" w:sz="2" w:space="2" w:color="FFFFFF"/>
          <w:right w:val="single" w:sz="2" w:space="4" w:color="FFFFFF"/>
        </w:pBdr>
        <w:spacing w:after="0" w:line="240" w:lineRule="auto"/>
        <w:ind w:right="141"/>
        <w:jc w:val="both"/>
        <w:rPr>
          <w:rFonts w:cstheme="minorHAnsi"/>
        </w:rPr>
      </w:pPr>
      <w:r w:rsidRPr="00386C64">
        <w:rPr>
          <w:rFonts w:cstheme="minorHAnsi"/>
        </w:rPr>
        <w:t>Members are asked to note that the Council has;</w:t>
      </w:r>
    </w:p>
    <w:p w14:paraId="6EE19486" w14:textId="77777777" w:rsidR="000A5EC7" w:rsidRPr="00386C64" w:rsidRDefault="000A5EC7" w:rsidP="000A5EC7">
      <w:pPr>
        <w:pStyle w:val="ListParagraph"/>
        <w:pBdr>
          <w:top w:val="single" w:sz="2" w:space="1" w:color="FFFFFF"/>
          <w:left w:val="single" w:sz="2" w:space="0" w:color="FFFFFF"/>
          <w:bottom w:val="single" w:sz="2" w:space="2" w:color="FFFFFF"/>
          <w:right w:val="single" w:sz="2" w:space="4" w:color="FFFFFF"/>
        </w:pBdr>
        <w:ind w:left="567" w:right="141"/>
        <w:rPr>
          <w:rFonts w:cstheme="minorHAnsi"/>
        </w:rPr>
      </w:pPr>
    </w:p>
    <w:p w14:paraId="5F0BCE17" w14:textId="03257343" w:rsidR="000A5EC7" w:rsidRPr="00386C64" w:rsidRDefault="000A5EC7" w:rsidP="000A5EC7">
      <w:pPr>
        <w:pStyle w:val="ListParagraph"/>
        <w:numPr>
          <w:ilvl w:val="0"/>
          <w:numId w:val="23"/>
        </w:numPr>
        <w:pBdr>
          <w:top w:val="single" w:sz="2" w:space="1" w:color="FFFFFF"/>
          <w:left w:val="single" w:sz="2" w:space="0" w:color="FFFFFF"/>
          <w:bottom w:val="single" w:sz="2" w:space="2" w:color="FFFFFF"/>
          <w:right w:val="single" w:sz="2" w:space="4" w:color="FFFFFF"/>
        </w:pBdr>
        <w:spacing w:after="0" w:line="240" w:lineRule="auto"/>
        <w:ind w:right="141"/>
        <w:jc w:val="both"/>
        <w:rPr>
          <w:rFonts w:cstheme="minorHAnsi"/>
        </w:rPr>
      </w:pPr>
      <w:r w:rsidRPr="00386C64">
        <w:rPr>
          <w:rFonts w:cstheme="minorHAnsi"/>
        </w:rPr>
        <w:t>remained within its Prudential Indicators</w:t>
      </w:r>
      <w:r w:rsidR="00D8254A">
        <w:rPr>
          <w:rFonts w:cstheme="minorHAnsi"/>
        </w:rPr>
        <w:t>;</w:t>
      </w:r>
    </w:p>
    <w:p w14:paraId="62EE3A78" w14:textId="4EC37BAC" w:rsidR="000A5EC7" w:rsidRPr="00386C64" w:rsidRDefault="000A5EC7" w:rsidP="000A5EC7">
      <w:pPr>
        <w:pStyle w:val="ListParagraph"/>
        <w:numPr>
          <w:ilvl w:val="0"/>
          <w:numId w:val="23"/>
        </w:numPr>
        <w:pBdr>
          <w:top w:val="single" w:sz="2" w:space="1" w:color="FFFFFF"/>
          <w:left w:val="single" w:sz="2" w:space="0" w:color="FFFFFF"/>
          <w:bottom w:val="single" w:sz="2" w:space="2" w:color="FFFFFF"/>
          <w:right w:val="single" w:sz="2" w:space="4" w:color="FFFFFF"/>
        </w:pBdr>
        <w:spacing w:after="0" w:line="240" w:lineRule="auto"/>
        <w:ind w:right="141"/>
        <w:jc w:val="both"/>
        <w:rPr>
          <w:rFonts w:cstheme="minorHAnsi"/>
        </w:rPr>
      </w:pPr>
      <w:r w:rsidRPr="00386C64">
        <w:rPr>
          <w:rFonts w:cstheme="minorHAnsi"/>
        </w:rPr>
        <w:t>adhered to its approved Counterparty Limits</w:t>
      </w:r>
      <w:r w:rsidR="00D8254A">
        <w:rPr>
          <w:rFonts w:cstheme="minorHAnsi"/>
        </w:rPr>
        <w:t>;</w:t>
      </w:r>
    </w:p>
    <w:p w14:paraId="6845FFEF" w14:textId="3C6C6761" w:rsidR="000A5EC7" w:rsidRPr="00386C64" w:rsidRDefault="000A5EC7" w:rsidP="000A5EC7">
      <w:pPr>
        <w:pStyle w:val="ListParagraph"/>
        <w:numPr>
          <w:ilvl w:val="0"/>
          <w:numId w:val="23"/>
        </w:numPr>
        <w:pBdr>
          <w:top w:val="single" w:sz="2" w:space="1" w:color="FFFFFF"/>
          <w:left w:val="single" w:sz="2" w:space="0" w:color="FFFFFF"/>
          <w:bottom w:val="single" w:sz="2" w:space="2" w:color="FFFFFF"/>
          <w:right w:val="single" w:sz="2" w:space="4" w:color="FFFFFF"/>
        </w:pBdr>
        <w:spacing w:after="0" w:line="240" w:lineRule="auto"/>
        <w:ind w:right="141"/>
        <w:jc w:val="both"/>
        <w:rPr>
          <w:rFonts w:cstheme="minorHAnsi"/>
        </w:rPr>
      </w:pPr>
      <w:r w:rsidRPr="00386C64">
        <w:rPr>
          <w:rFonts w:cstheme="minorHAnsi"/>
        </w:rPr>
        <w:t>not entered into any borrowing</w:t>
      </w:r>
      <w:r w:rsidR="00D8254A">
        <w:rPr>
          <w:rFonts w:cstheme="minorHAnsi"/>
        </w:rPr>
        <w:t>;</w:t>
      </w:r>
    </w:p>
    <w:p w14:paraId="607854B4" w14:textId="25C6C251" w:rsidR="000A5EC7" w:rsidRPr="00353936" w:rsidRDefault="000A5EC7" w:rsidP="000A5EC7">
      <w:pPr>
        <w:pStyle w:val="ListParagraph"/>
        <w:numPr>
          <w:ilvl w:val="0"/>
          <w:numId w:val="23"/>
        </w:numPr>
        <w:pBdr>
          <w:top w:val="single" w:sz="2" w:space="1" w:color="FFFFFF"/>
          <w:left w:val="single" w:sz="2" w:space="0" w:color="FFFFFF"/>
          <w:bottom w:val="single" w:sz="2" w:space="2" w:color="FFFFFF"/>
          <w:right w:val="single" w:sz="2" w:space="4" w:color="FFFFFF"/>
        </w:pBdr>
        <w:spacing w:after="0" w:line="240" w:lineRule="auto"/>
        <w:ind w:right="141"/>
        <w:jc w:val="both"/>
        <w:rPr>
          <w:rFonts w:cstheme="minorHAnsi"/>
          <w:color w:val="000000" w:themeColor="text1"/>
        </w:rPr>
      </w:pPr>
      <w:r w:rsidRPr="00353936">
        <w:rPr>
          <w:rFonts w:cstheme="minorHAnsi"/>
          <w:color w:val="000000" w:themeColor="text1"/>
        </w:rPr>
        <w:t>retained its “under borrowed” position</w:t>
      </w:r>
      <w:r w:rsidR="00D8254A">
        <w:rPr>
          <w:rFonts w:cstheme="minorHAnsi"/>
          <w:color w:val="000000" w:themeColor="text1"/>
        </w:rPr>
        <w:t>;</w:t>
      </w:r>
    </w:p>
    <w:p w14:paraId="04A7F75B" w14:textId="0FD8C2A4" w:rsidR="00386C64" w:rsidRPr="00353936" w:rsidRDefault="000A5EC7" w:rsidP="005E3F73">
      <w:pPr>
        <w:pStyle w:val="ListParagraph"/>
        <w:numPr>
          <w:ilvl w:val="0"/>
          <w:numId w:val="23"/>
        </w:numPr>
        <w:pBdr>
          <w:top w:val="single" w:sz="2" w:space="1" w:color="FFFFFF"/>
          <w:left w:val="single" w:sz="2" w:space="0" w:color="FFFFFF"/>
          <w:bottom w:val="single" w:sz="2" w:space="2" w:color="FFFFFF"/>
          <w:right w:val="single" w:sz="2" w:space="4" w:color="FFFFFF"/>
        </w:pBdr>
        <w:spacing w:after="0" w:line="240" w:lineRule="auto"/>
        <w:ind w:right="141"/>
        <w:jc w:val="both"/>
        <w:rPr>
          <w:rFonts w:cstheme="minorHAnsi"/>
          <w:b/>
          <w:bCs/>
          <w:color w:val="000000" w:themeColor="text1"/>
        </w:rPr>
      </w:pPr>
      <w:r w:rsidRPr="00353936">
        <w:rPr>
          <w:rFonts w:cstheme="minorHAnsi"/>
          <w:color w:val="000000" w:themeColor="text1"/>
        </w:rPr>
        <w:t>has achieved an increased investment yield of 0.</w:t>
      </w:r>
      <w:r w:rsidR="00CF4687" w:rsidRPr="00353936">
        <w:rPr>
          <w:rFonts w:cstheme="minorHAnsi"/>
          <w:color w:val="000000" w:themeColor="text1"/>
        </w:rPr>
        <w:t>79</w:t>
      </w:r>
      <w:r w:rsidRPr="00353936">
        <w:rPr>
          <w:rFonts w:cstheme="minorHAnsi"/>
          <w:color w:val="000000" w:themeColor="text1"/>
        </w:rPr>
        <w:t>%</w:t>
      </w:r>
    </w:p>
    <w:p w14:paraId="0B65D82C" w14:textId="77777777" w:rsidR="00A617CA" w:rsidRDefault="00A617CA" w:rsidP="000A5EC7">
      <w:pPr>
        <w:rPr>
          <w:rFonts w:cstheme="minorHAnsi"/>
          <w:b/>
          <w:bCs/>
        </w:rPr>
      </w:pPr>
    </w:p>
    <w:p w14:paraId="665702FA" w14:textId="27949D5E" w:rsidR="000A5EC7" w:rsidRPr="00386C64" w:rsidRDefault="000A5EC7" w:rsidP="000A5EC7">
      <w:pPr>
        <w:rPr>
          <w:rFonts w:cstheme="minorHAnsi"/>
          <w:b/>
          <w:bCs/>
        </w:rPr>
      </w:pPr>
      <w:r w:rsidRPr="00386C64">
        <w:rPr>
          <w:rFonts w:cstheme="minorHAnsi"/>
          <w:b/>
          <w:bCs/>
        </w:rPr>
        <w:t>Climate change and air quality</w:t>
      </w:r>
    </w:p>
    <w:p w14:paraId="0EDD4499" w14:textId="77777777" w:rsidR="000A5EC7" w:rsidRPr="00386C64" w:rsidRDefault="000A5EC7" w:rsidP="000A5EC7">
      <w:pPr>
        <w:pStyle w:val="ListParagraph"/>
        <w:numPr>
          <w:ilvl w:val="0"/>
          <w:numId w:val="20"/>
        </w:numPr>
        <w:tabs>
          <w:tab w:val="left" w:pos="709"/>
        </w:tabs>
        <w:spacing w:after="0" w:line="240" w:lineRule="auto"/>
        <w:ind w:right="-284"/>
        <w:rPr>
          <w:rFonts w:cstheme="minorHAnsi"/>
          <w:lang w:eastAsia="en-GB"/>
        </w:rPr>
      </w:pPr>
      <w:r w:rsidRPr="00386C64">
        <w:rPr>
          <w:rFonts w:cstheme="minorHAnsi"/>
        </w:rPr>
        <w:t>The work noted in this report does not impact the climate change and sustainability targets of the Councils Green Agenda and all environmental considerations are in place.</w:t>
      </w:r>
    </w:p>
    <w:p w14:paraId="02878120" w14:textId="77777777" w:rsidR="000A5EC7" w:rsidRPr="00386C64" w:rsidRDefault="000A5EC7" w:rsidP="000A5EC7">
      <w:pPr>
        <w:pStyle w:val="Heading2"/>
        <w:rPr>
          <w:rFonts w:asciiTheme="minorHAnsi" w:hAnsiTheme="minorHAnsi" w:cstheme="minorHAnsi"/>
          <w:sz w:val="22"/>
          <w:szCs w:val="22"/>
        </w:rPr>
      </w:pPr>
      <w:r w:rsidRPr="00386C64">
        <w:rPr>
          <w:rFonts w:asciiTheme="minorHAnsi" w:hAnsiTheme="minorHAnsi" w:cstheme="minorHAnsi"/>
          <w:sz w:val="22"/>
          <w:szCs w:val="22"/>
        </w:rPr>
        <w:t>Equality and diversity</w:t>
      </w:r>
    </w:p>
    <w:p w14:paraId="517C4560" w14:textId="77777777" w:rsidR="000A5EC7" w:rsidRPr="00386C64" w:rsidRDefault="000A5EC7" w:rsidP="000A5EC7">
      <w:pPr>
        <w:pStyle w:val="ListParagraph"/>
        <w:numPr>
          <w:ilvl w:val="0"/>
          <w:numId w:val="20"/>
        </w:numPr>
        <w:spacing w:after="0" w:line="240" w:lineRule="auto"/>
        <w:jc w:val="both"/>
        <w:rPr>
          <w:rFonts w:cstheme="minorHAnsi"/>
          <w:bCs/>
          <w:iCs/>
        </w:rPr>
      </w:pPr>
      <w:r w:rsidRPr="00386C64">
        <w:rPr>
          <w:rFonts w:cstheme="minorHAnsi"/>
          <w:bCs/>
          <w:iCs/>
        </w:rPr>
        <w:t xml:space="preserve">Not applicable </w:t>
      </w:r>
    </w:p>
    <w:p w14:paraId="32C8DF0B" w14:textId="77777777" w:rsidR="000A5EC7" w:rsidRPr="00386C64" w:rsidRDefault="000A5EC7" w:rsidP="000A5EC7">
      <w:pPr>
        <w:pStyle w:val="Heading2"/>
        <w:rPr>
          <w:rFonts w:asciiTheme="minorHAnsi" w:hAnsiTheme="minorHAnsi" w:cstheme="minorHAnsi"/>
          <w:sz w:val="22"/>
          <w:szCs w:val="22"/>
        </w:rPr>
      </w:pPr>
      <w:r w:rsidRPr="00386C64">
        <w:rPr>
          <w:rFonts w:asciiTheme="minorHAnsi" w:hAnsiTheme="minorHAnsi" w:cstheme="minorHAnsi"/>
          <w:sz w:val="22"/>
          <w:szCs w:val="22"/>
        </w:rPr>
        <w:t xml:space="preserve">Risk </w:t>
      </w:r>
    </w:p>
    <w:p w14:paraId="21019BCF" w14:textId="55195B3E" w:rsidR="000A5EC7" w:rsidRPr="00386C64" w:rsidRDefault="000A5EC7" w:rsidP="000A5EC7">
      <w:pPr>
        <w:pStyle w:val="ListParagraph"/>
        <w:numPr>
          <w:ilvl w:val="0"/>
          <w:numId w:val="20"/>
        </w:numPr>
        <w:spacing w:after="0" w:line="240" w:lineRule="auto"/>
        <w:jc w:val="both"/>
        <w:rPr>
          <w:rFonts w:cstheme="minorHAnsi"/>
        </w:rPr>
      </w:pPr>
      <w:r w:rsidRPr="00386C64">
        <w:rPr>
          <w:rFonts w:cstheme="minorHAnsi"/>
        </w:rPr>
        <w:t>Regular monitoring and reporting of the Council’s Treasury Management position ensure compliance with Prudential Indicators and the Treasury Management Code of Practice.</w:t>
      </w:r>
    </w:p>
    <w:p w14:paraId="37605A21" w14:textId="77777777" w:rsidR="000A5EC7" w:rsidRPr="00386C64" w:rsidRDefault="000A5EC7" w:rsidP="000A5EC7">
      <w:pPr>
        <w:pStyle w:val="Heading2"/>
        <w:pBdr>
          <w:top w:val="single" w:sz="2" w:space="1" w:color="FFFFFF"/>
          <w:left w:val="single" w:sz="2" w:space="0" w:color="FFFFFF"/>
          <w:bottom w:val="single" w:sz="2" w:space="2" w:color="FFFFFF"/>
          <w:right w:val="single" w:sz="2" w:space="4" w:color="FFFFFF"/>
        </w:pBdr>
        <w:rPr>
          <w:rFonts w:asciiTheme="minorHAnsi" w:hAnsiTheme="minorHAnsi" w:cstheme="minorHAnsi"/>
          <w:sz w:val="22"/>
          <w:szCs w:val="22"/>
        </w:rPr>
      </w:pPr>
      <w:r w:rsidRPr="00386C64">
        <w:rPr>
          <w:rFonts w:asciiTheme="minorHAnsi" w:hAnsiTheme="minorHAnsi" w:cstheme="minorHAnsi"/>
          <w:sz w:val="22"/>
          <w:szCs w:val="22"/>
        </w:rPr>
        <w:t xml:space="preserve">Comments of the Statutory Finance Officer </w:t>
      </w:r>
    </w:p>
    <w:p w14:paraId="590BD21B" w14:textId="77777777" w:rsidR="000A5EC7" w:rsidRPr="00386C64" w:rsidRDefault="000A5EC7" w:rsidP="000A5EC7">
      <w:pPr>
        <w:pStyle w:val="ListParagraph"/>
        <w:numPr>
          <w:ilvl w:val="0"/>
          <w:numId w:val="20"/>
        </w:numPr>
        <w:spacing w:after="0" w:line="240" w:lineRule="auto"/>
        <w:jc w:val="both"/>
        <w:rPr>
          <w:rFonts w:cstheme="minorHAnsi"/>
        </w:rPr>
      </w:pPr>
      <w:r w:rsidRPr="00386C64">
        <w:rPr>
          <w:rFonts w:cstheme="minorHAnsi"/>
        </w:rPr>
        <w:t xml:space="preserve">There are no direct financial implications arising from this report. All financial implications in respect of treasury management activity arise as a result of the annual Treasury Strategy for 2022/23 approved previously by Council. This report presents details of actual performance achieved as a result of implementing the approved strategies. </w:t>
      </w:r>
    </w:p>
    <w:p w14:paraId="35884AD9" w14:textId="77777777" w:rsidR="000A5EC7" w:rsidRPr="00386C64" w:rsidRDefault="000A5EC7" w:rsidP="000A5EC7">
      <w:pPr>
        <w:pStyle w:val="ListParagraph"/>
        <w:ind w:left="567"/>
        <w:rPr>
          <w:rFonts w:cstheme="minorHAnsi"/>
        </w:rPr>
      </w:pPr>
    </w:p>
    <w:p w14:paraId="48AC3608" w14:textId="77777777" w:rsidR="000A5EC7" w:rsidRPr="00386C64" w:rsidRDefault="000A5EC7" w:rsidP="000A5EC7">
      <w:pPr>
        <w:pStyle w:val="ListParagraph"/>
        <w:numPr>
          <w:ilvl w:val="0"/>
          <w:numId w:val="20"/>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theme="minorHAnsi"/>
        </w:rPr>
      </w:pPr>
      <w:r w:rsidRPr="00386C64">
        <w:rPr>
          <w:rFonts w:cstheme="minorHAnsi"/>
        </w:rPr>
        <w:t>The Council is compliant with its Prudential Indicators, Counterparty limits and the latest PWLB reforms.</w:t>
      </w:r>
    </w:p>
    <w:p w14:paraId="02179373" w14:textId="77777777" w:rsidR="000A5EC7" w:rsidRPr="00386C64" w:rsidRDefault="000A5EC7" w:rsidP="000A5EC7">
      <w:pPr>
        <w:pStyle w:val="Heading2"/>
        <w:pBdr>
          <w:top w:val="single" w:sz="2" w:space="1" w:color="FFFFFF"/>
          <w:left w:val="single" w:sz="2" w:space="0" w:color="FFFFFF"/>
          <w:bottom w:val="single" w:sz="2" w:space="2" w:color="FFFFFF"/>
          <w:right w:val="single" w:sz="2" w:space="4" w:color="FFFFFF"/>
        </w:pBdr>
        <w:rPr>
          <w:rFonts w:asciiTheme="minorHAnsi" w:hAnsiTheme="minorHAnsi" w:cstheme="minorHAnsi"/>
          <w:sz w:val="22"/>
          <w:szCs w:val="22"/>
        </w:rPr>
      </w:pPr>
      <w:r w:rsidRPr="00386C64">
        <w:rPr>
          <w:rFonts w:asciiTheme="minorHAnsi" w:hAnsiTheme="minorHAnsi" w:cstheme="minorHAnsi"/>
          <w:sz w:val="22"/>
          <w:szCs w:val="22"/>
        </w:rPr>
        <w:t xml:space="preserve">Comments of the Monitoring Officer </w:t>
      </w:r>
    </w:p>
    <w:p w14:paraId="2142D8BA" w14:textId="77777777" w:rsidR="000A5EC7" w:rsidRPr="00386C64" w:rsidRDefault="000A5EC7" w:rsidP="000A5EC7">
      <w:pPr>
        <w:numPr>
          <w:ilvl w:val="0"/>
          <w:numId w:val="20"/>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theme="minorHAnsi"/>
        </w:rPr>
      </w:pPr>
      <w:r w:rsidRPr="00386C64">
        <w:rPr>
          <w:rFonts w:cstheme="minorHAnsi"/>
        </w:rPr>
        <w:t xml:space="preserve">Presentation of this report is required to comply with the CIPFA Code of Practice on Treasury Management in the Public Services (2017 edition). </w:t>
      </w:r>
    </w:p>
    <w:p w14:paraId="441FF284" w14:textId="5618CE00" w:rsidR="00301A08" w:rsidRDefault="00301A08" w:rsidP="000A5EC7">
      <w:pPr>
        <w:pBdr>
          <w:top w:val="single" w:sz="2" w:space="1" w:color="FFFFFF"/>
          <w:left w:val="single" w:sz="2" w:space="0" w:color="FFFFFF"/>
          <w:bottom w:val="single" w:sz="2" w:space="2" w:color="FFFFFF"/>
          <w:right w:val="single" w:sz="2" w:space="4" w:color="FFFFFF"/>
        </w:pBdr>
        <w:ind w:right="141"/>
        <w:rPr>
          <w:rFonts w:cstheme="minorHAnsi"/>
          <w:b/>
          <w:bCs/>
          <w:iCs/>
        </w:rPr>
      </w:pPr>
    </w:p>
    <w:p w14:paraId="10A3CA97" w14:textId="77777777" w:rsidR="00353936" w:rsidRPr="00386C64" w:rsidRDefault="00353936" w:rsidP="000A5EC7">
      <w:pPr>
        <w:pBdr>
          <w:top w:val="single" w:sz="2" w:space="1" w:color="FFFFFF"/>
          <w:left w:val="single" w:sz="2" w:space="0" w:color="FFFFFF"/>
          <w:bottom w:val="single" w:sz="2" w:space="2" w:color="FFFFFF"/>
          <w:right w:val="single" w:sz="2" w:space="4" w:color="FFFFFF"/>
        </w:pBdr>
        <w:ind w:right="141"/>
        <w:rPr>
          <w:rFonts w:cstheme="minorHAnsi"/>
          <w:b/>
          <w:bCs/>
          <w:iCs/>
        </w:rPr>
      </w:pPr>
    </w:p>
    <w:p w14:paraId="207CFB69" w14:textId="428A0649" w:rsidR="000A5EC7" w:rsidRPr="00386C64" w:rsidRDefault="000A5EC7" w:rsidP="000A5EC7">
      <w:pPr>
        <w:pBdr>
          <w:top w:val="single" w:sz="2" w:space="1" w:color="FFFFFF"/>
          <w:left w:val="single" w:sz="2" w:space="0" w:color="FFFFFF"/>
          <w:bottom w:val="single" w:sz="2" w:space="2" w:color="FFFFFF"/>
          <w:right w:val="single" w:sz="2" w:space="4" w:color="FFFFFF"/>
        </w:pBdr>
        <w:ind w:right="141"/>
        <w:rPr>
          <w:rFonts w:cstheme="minorHAnsi"/>
          <w:b/>
          <w:bCs/>
          <w:iCs/>
        </w:rPr>
      </w:pPr>
      <w:r w:rsidRPr="00386C64">
        <w:rPr>
          <w:rFonts w:cstheme="minorHAnsi"/>
          <w:b/>
          <w:bCs/>
          <w:iCs/>
        </w:rPr>
        <w:lastRenderedPageBreak/>
        <w:t>Background documents</w:t>
      </w:r>
    </w:p>
    <w:p w14:paraId="00C3511E" w14:textId="600BA119" w:rsidR="00301A08" w:rsidRPr="00386C64" w:rsidRDefault="000A5EC7" w:rsidP="000A5EC7">
      <w:pPr>
        <w:pBdr>
          <w:top w:val="single" w:sz="2" w:space="1" w:color="FFFFFF"/>
          <w:left w:val="single" w:sz="2" w:space="0" w:color="FFFFFF"/>
          <w:bottom w:val="single" w:sz="2" w:space="2" w:color="FFFFFF"/>
          <w:right w:val="single" w:sz="2" w:space="4" w:color="FFFFFF"/>
        </w:pBdr>
        <w:tabs>
          <w:tab w:val="left" w:pos="567"/>
        </w:tabs>
        <w:ind w:right="141"/>
        <w:rPr>
          <w:rFonts w:cstheme="minorHAnsi"/>
          <w:iCs/>
        </w:rPr>
      </w:pPr>
      <w:r w:rsidRPr="00386C64">
        <w:rPr>
          <w:rFonts w:cstheme="minorHAnsi"/>
          <w:iCs/>
        </w:rPr>
        <w:t>•</w:t>
      </w:r>
      <w:r w:rsidRPr="00386C64">
        <w:rPr>
          <w:rFonts w:cstheme="minorHAnsi"/>
          <w:iCs/>
        </w:rPr>
        <w:tab/>
        <w:t>CIPFA Treasury Management in the Public Services: Code of Practice &amp; Guidance Notes</w:t>
      </w:r>
    </w:p>
    <w:p w14:paraId="1AF3F2CB" w14:textId="6E3A5212" w:rsidR="000A5EC7" w:rsidRPr="00386C64" w:rsidRDefault="000A5EC7" w:rsidP="000A5EC7">
      <w:pPr>
        <w:pBdr>
          <w:top w:val="single" w:sz="2" w:space="1" w:color="FFFFFF"/>
          <w:left w:val="single" w:sz="2" w:space="0" w:color="FFFFFF"/>
          <w:bottom w:val="single" w:sz="2" w:space="2" w:color="FFFFFF"/>
          <w:right w:val="single" w:sz="2" w:space="4" w:color="FFFFFF"/>
        </w:pBdr>
        <w:tabs>
          <w:tab w:val="left" w:pos="567"/>
        </w:tabs>
        <w:ind w:right="141"/>
        <w:rPr>
          <w:rFonts w:cstheme="minorHAnsi"/>
          <w:iCs/>
        </w:rPr>
      </w:pPr>
      <w:r w:rsidRPr="00386C64">
        <w:rPr>
          <w:rFonts w:cstheme="minorHAnsi"/>
          <w:iCs/>
        </w:rPr>
        <w:t>•</w:t>
      </w:r>
      <w:r w:rsidRPr="00386C64">
        <w:rPr>
          <w:rFonts w:cstheme="minorHAnsi"/>
          <w:iCs/>
        </w:rPr>
        <w:tab/>
        <w:t>Treasury Management Policy Statement 2022/23 to 2024/25 (Council 2</w:t>
      </w:r>
      <w:r w:rsidR="00096621">
        <w:rPr>
          <w:rFonts w:cstheme="minorHAnsi"/>
          <w:iCs/>
        </w:rPr>
        <w:t>3rd</w:t>
      </w:r>
      <w:r w:rsidRPr="00386C64">
        <w:rPr>
          <w:rFonts w:cstheme="minorHAnsi"/>
          <w:iCs/>
        </w:rPr>
        <w:t xml:space="preserve"> February 2022)</w:t>
      </w:r>
    </w:p>
    <w:p w14:paraId="30DA6966" w14:textId="38DA72D5" w:rsidR="000A5EC7" w:rsidRPr="00386C64" w:rsidRDefault="000A5EC7" w:rsidP="000A5EC7">
      <w:pPr>
        <w:pBdr>
          <w:top w:val="single" w:sz="2" w:space="1" w:color="FFFFFF"/>
          <w:left w:val="single" w:sz="2" w:space="0" w:color="FFFFFF"/>
          <w:bottom w:val="single" w:sz="2" w:space="2" w:color="FFFFFF"/>
          <w:right w:val="single" w:sz="2" w:space="4" w:color="FFFFFF"/>
        </w:pBdr>
        <w:tabs>
          <w:tab w:val="left" w:pos="567"/>
        </w:tabs>
        <w:ind w:right="141"/>
        <w:rPr>
          <w:rFonts w:cstheme="minorHAnsi"/>
          <w:iCs/>
        </w:rPr>
      </w:pPr>
      <w:r w:rsidRPr="00386C64">
        <w:rPr>
          <w:rFonts w:cstheme="minorHAnsi"/>
          <w:iCs/>
        </w:rPr>
        <w:t>•</w:t>
      </w:r>
      <w:r w:rsidRPr="00386C64">
        <w:rPr>
          <w:rFonts w:cstheme="minorHAnsi"/>
          <w:iCs/>
        </w:rPr>
        <w:tab/>
        <w:t xml:space="preserve">Treasury Management Outturn Report 2021/22 (Governance Committee </w:t>
      </w:r>
      <w:r w:rsidR="00E1066E">
        <w:rPr>
          <w:rFonts w:cstheme="minorHAnsi"/>
          <w:iCs/>
        </w:rPr>
        <w:t>26</w:t>
      </w:r>
      <w:r w:rsidR="00E1066E" w:rsidRPr="00E1066E">
        <w:rPr>
          <w:rFonts w:cstheme="minorHAnsi"/>
          <w:iCs/>
          <w:vertAlign w:val="superscript"/>
        </w:rPr>
        <w:t>th</w:t>
      </w:r>
      <w:r w:rsidR="00E1066E">
        <w:rPr>
          <w:rFonts w:cstheme="minorHAnsi"/>
          <w:iCs/>
        </w:rPr>
        <w:t xml:space="preserve"> July</w:t>
      </w:r>
      <w:r w:rsidRPr="00386C64">
        <w:rPr>
          <w:rFonts w:cstheme="minorHAnsi"/>
          <w:iCs/>
        </w:rPr>
        <w:t xml:space="preserve"> 2022)</w:t>
      </w:r>
    </w:p>
    <w:p w14:paraId="116F8525" w14:textId="0C039E52" w:rsidR="000A5EC7" w:rsidRPr="00386C64" w:rsidRDefault="000A5EC7" w:rsidP="000A5EC7">
      <w:pPr>
        <w:pStyle w:val="ListParagraph"/>
        <w:numPr>
          <w:ilvl w:val="0"/>
          <w:numId w:val="22"/>
        </w:num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hanging="567"/>
        <w:jc w:val="both"/>
        <w:rPr>
          <w:rFonts w:cstheme="minorHAnsi"/>
          <w:iCs/>
        </w:rPr>
      </w:pPr>
      <w:r w:rsidRPr="00386C64">
        <w:rPr>
          <w:rFonts w:cstheme="minorHAnsi"/>
        </w:rPr>
        <w:t>2022/23 Corporate Capital Programme and Balance Sheet Monitoring Report Position at 30</w:t>
      </w:r>
      <w:r w:rsidRPr="00386C64">
        <w:rPr>
          <w:rFonts w:cstheme="minorHAnsi"/>
          <w:vertAlign w:val="superscript"/>
        </w:rPr>
        <w:t>th</w:t>
      </w:r>
      <w:r w:rsidRPr="00386C64">
        <w:rPr>
          <w:rFonts w:cstheme="minorHAnsi"/>
        </w:rPr>
        <w:t xml:space="preserve"> September 2022 (Cabinet 1</w:t>
      </w:r>
      <w:r w:rsidR="00E1066E">
        <w:rPr>
          <w:rFonts w:cstheme="minorHAnsi"/>
        </w:rPr>
        <w:t>6</w:t>
      </w:r>
      <w:r w:rsidRPr="00386C64">
        <w:rPr>
          <w:rFonts w:cstheme="minorHAnsi"/>
          <w:vertAlign w:val="superscript"/>
        </w:rPr>
        <w:t>th</w:t>
      </w:r>
      <w:r w:rsidRPr="00386C64">
        <w:rPr>
          <w:rFonts w:cstheme="minorHAnsi"/>
        </w:rPr>
        <w:t xml:space="preserve"> November 2022)</w:t>
      </w:r>
    </w:p>
    <w:p w14:paraId="28A001CF" w14:textId="77777777" w:rsidR="000A5EC7" w:rsidRPr="003A71FD" w:rsidRDefault="000A5EC7" w:rsidP="000A5EC7">
      <w:pPr>
        <w:pStyle w:val="Heading2"/>
        <w:rPr>
          <w:rFonts w:asciiTheme="minorHAnsi" w:hAnsiTheme="minorHAnsi" w:cstheme="minorHAnsi"/>
          <w:sz w:val="22"/>
          <w:szCs w:val="22"/>
        </w:rPr>
      </w:pPr>
      <w:r w:rsidRPr="003A71FD">
        <w:rPr>
          <w:rFonts w:asciiTheme="minorHAnsi" w:hAnsiTheme="minorHAnsi" w:cstheme="minorHAnsi"/>
          <w:sz w:val="22"/>
          <w:szCs w:val="22"/>
        </w:rPr>
        <w:t xml:space="preserve">Appendices </w:t>
      </w:r>
    </w:p>
    <w:p w14:paraId="2BF691A9" w14:textId="1E6A89A2" w:rsidR="000A5EC7" w:rsidRPr="003A71FD" w:rsidRDefault="000A5EC7" w:rsidP="000A5EC7">
      <w:pPr>
        <w:pStyle w:val="Heading2"/>
        <w:ind w:firstLine="567"/>
        <w:rPr>
          <w:rFonts w:asciiTheme="minorHAnsi" w:hAnsiTheme="minorHAnsi" w:cstheme="minorHAnsi"/>
          <w:b w:val="0"/>
          <w:bCs w:val="0"/>
          <w:sz w:val="22"/>
          <w:szCs w:val="22"/>
        </w:rPr>
      </w:pPr>
      <w:r w:rsidRPr="003A71FD">
        <w:rPr>
          <w:rFonts w:asciiTheme="minorHAnsi" w:hAnsiTheme="minorHAnsi" w:cstheme="minorHAnsi"/>
          <w:b w:val="0"/>
          <w:sz w:val="22"/>
          <w:szCs w:val="22"/>
        </w:rPr>
        <w:t>Appendix A: Approved Counterparty limits 2022/23</w:t>
      </w:r>
    </w:p>
    <w:p w14:paraId="5A591A3E" w14:textId="37B3458E" w:rsidR="000A5EC7" w:rsidRPr="003A71FD" w:rsidRDefault="000A5EC7" w:rsidP="00301A08">
      <w:pPr>
        <w:ind w:firstLine="567"/>
        <w:rPr>
          <w:rFonts w:cstheme="minorHAnsi"/>
          <w:b/>
          <w:bCs/>
        </w:rPr>
      </w:pPr>
      <w:r w:rsidRPr="003A71FD">
        <w:rPr>
          <w:rFonts w:cstheme="minorHAnsi"/>
          <w:bCs/>
        </w:rPr>
        <w:t xml:space="preserve">Appendix </w:t>
      </w:r>
      <w:r w:rsidR="003A71FD" w:rsidRPr="003A71FD">
        <w:rPr>
          <w:rFonts w:cstheme="minorHAnsi"/>
          <w:bCs/>
        </w:rPr>
        <w:t>B</w:t>
      </w:r>
      <w:r w:rsidRPr="003A71FD">
        <w:rPr>
          <w:rFonts w:cstheme="minorHAnsi"/>
          <w:bCs/>
        </w:rPr>
        <w:t>: Link Commentary - Economic Outlook</w:t>
      </w:r>
    </w:p>
    <w:p w14:paraId="5A7CD5C2" w14:textId="168EA31F" w:rsidR="000A5EC7" w:rsidRPr="003A71FD" w:rsidRDefault="000A5EC7" w:rsidP="000A5EC7">
      <w:pPr>
        <w:pStyle w:val="Heading2"/>
        <w:ind w:firstLine="567"/>
        <w:rPr>
          <w:rFonts w:asciiTheme="minorHAnsi" w:hAnsiTheme="minorHAnsi" w:cstheme="minorHAnsi"/>
          <w:b w:val="0"/>
          <w:bCs w:val="0"/>
          <w:sz w:val="22"/>
          <w:szCs w:val="22"/>
        </w:rPr>
      </w:pPr>
      <w:r w:rsidRPr="003A71FD">
        <w:rPr>
          <w:rFonts w:asciiTheme="minorHAnsi" w:hAnsiTheme="minorHAnsi" w:cstheme="minorHAnsi"/>
          <w:b w:val="0"/>
          <w:sz w:val="22"/>
          <w:szCs w:val="22"/>
        </w:rPr>
        <w:t xml:space="preserve">Appendix </w:t>
      </w:r>
      <w:r w:rsidR="003A71FD" w:rsidRPr="003A71FD">
        <w:rPr>
          <w:rFonts w:asciiTheme="minorHAnsi" w:hAnsiTheme="minorHAnsi" w:cstheme="minorHAnsi"/>
          <w:b w:val="0"/>
          <w:sz w:val="22"/>
          <w:szCs w:val="22"/>
        </w:rPr>
        <w:t>C</w:t>
      </w:r>
      <w:r w:rsidRPr="003A71FD">
        <w:rPr>
          <w:rFonts w:asciiTheme="minorHAnsi" w:hAnsiTheme="minorHAnsi" w:cstheme="minorHAnsi"/>
          <w:b w:val="0"/>
          <w:sz w:val="22"/>
          <w:szCs w:val="22"/>
        </w:rPr>
        <w:t>: Link Interest Rate Forecasts</w:t>
      </w:r>
    </w:p>
    <w:p w14:paraId="48DD944D" w14:textId="77777777" w:rsidR="000A5EC7" w:rsidRPr="003A71FD" w:rsidRDefault="000A5EC7" w:rsidP="000A5EC7">
      <w:pPr>
        <w:rPr>
          <w:rFonts w:cstheme="minorHAnsi"/>
        </w:rPr>
      </w:pPr>
    </w:p>
    <w:p w14:paraId="778F2616" w14:textId="77777777" w:rsidR="000A5EC7" w:rsidRPr="003A71FD" w:rsidRDefault="000A5EC7" w:rsidP="000A5EC7">
      <w:pPr>
        <w:pBdr>
          <w:top w:val="single" w:sz="2" w:space="1" w:color="FFFFFF"/>
          <w:left w:val="single" w:sz="2" w:space="0" w:color="FFFFFF"/>
          <w:bottom w:val="single" w:sz="2" w:space="2" w:color="FFFFFF"/>
          <w:right w:val="single" w:sz="2" w:space="4" w:color="FFFFFF"/>
        </w:pBdr>
        <w:tabs>
          <w:tab w:val="left" w:pos="567"/>
          <w:tab w:val="left" w:pos="709"/>
        </w:tabs>
        <w:ind w:left="709" w:right="141" w:hanging="709"/>
        <w:rPr>
          <w:rFonts w:cstheme="minorHAnsi"/>
        </w:rPr>
      </w:pPr>
      <w:r w:rsidRPr="003A71FD">
        <w:rPr>
          <w:rFonts w:cstheme="minorHAnsi"/>
        </w:rPr>
        <w:t>Louise Mattinson</w:t>
      </w:r>
    </w:p>
    <w:p w14:paraId="49B50B35" w14:textId="3DB73414" w:rsidR="000A5EC7" w:rsidRPr="003A71FD" w:rsidRDefault="000A5EC7" w:rsidP="000A5EC7">
      <w:pPr>
        <w:pBdr>
          <w:top w:val="single" w:sz="2" w:space="1" w:color="FFFFFF"/>
          <w:left w:val="single" w:sz="2" w:space="0" w:color="FFFFFF"/>
          <w:bottom w:val="single" w:sz="2" w:space="2" w:color="FFFFFF"/>
          <w:right w:val="single" w:sz="2" w:space="4" w:color="FFFFFF"/>
        </w:pBdr>
        <w:tabs>
          <w:tab w:val="left" w:pos="567"/>
          <w:tab w:val="left" w:pos="709"/>
        </w:tabs>
        <w:ind w:left="709" w:right="141" w:hanging="709"/>
        <w:rPr>
          <w:rFonts w:cstheme="minorHAnsi"/>
        </w:rPr>
      </w:pPr>
      <w:r w:rsidRPr="003A71FD">
        <w:rPr>
          <w:rFonts w:cstheme="minorHAnsi"/>
        </w:rPr>
        <w:t>Director of Finance</w:t>
      </w:r>
      <w:r w:rsidR="00AC0032" w:rsidRPr="003A71FD">
        <w:rPr>
          <w:rFonts w:cstheme="minorHAnsi"/>
        </w:rPr>
        <w:t xml:space="preserve"> (s151 Officer)</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3522"/>
        <w:gridCol w:w="1453"/>
        <w:gridCol w:w="1641"/>
      </w:tblGrid>
      <w:tr w:rsidR="003A71FD" w:rsidRPr="003A71FD" w14:paraId="17F55B25" w14:textId="77777777" w:rsidTr="002B1B31">
        <w:tc>
          <w:tcPr>
            <w:tcW w:w="3148" w:type="dxa"/>
            <w:shd w:val="clear" w:color="auto" w:fill="auto"/>
          </w:tcPr>
          <w:p w14:paraId="47AB2DDF" w14:textId="77777777" w:rsidR="000A5EC7" w:rsidRPr="003A71FD" w:rsidRDefault="000A5EC7" w:rsidP="002B1B31">
            <w:pPr>
              <w:rPr>
                <w:rFonts w:cstheme="minorHAnsi"/>
                <w:bCs/>
              </w:rPr>
            </w:pPr>
            <w:r w:rsidRPr="003A71FD">
              <w:rPr>
                <w:rFonts w:cstheme="minorHAnsi"/>
                <w:bCs/>
              </w:rPr>
              <w:t>Report Author:</w:t>
            </w:r>
          </w:p>
        </w:tc>
        <w:tc>
          <w:tcPr>
            <w:tcW w:w="3213" w:type="dxa"/>
          </w:tcPr>
          <w:p w14:paraId="0D0B8FEB" w14:textId="77777777" w:rsidR="000A5EC7" w:rsidRPr="003A71FD" w:rsidRDefault="000A5EC7" w:rsidP="002B1B31">
            <w:pPr>
              <w:rPr>
                <w:rFonts w:cstheme="minorHAnsi"/>
                <w:bCs/>
              </w:rPr>
            </w:pPr>
            <w:r w:rsidRPr="003A71FD">
              <w:rPr>
                <w:rFonts w:cstheme="minorHAnsi"/>
                <w:bCs/>
              </w:rPr>
              <w:t>Email:</w:t>
            </w:r>
          </w:p>
        </w:tc>
        <w:tc>
          <w:tcPr>
            <w:tcW w:w="1471" w:type="dxa"/>
            <w:shd w:val="clear" w:color="auto" w:fill="auto"/>
          </w:tcPr>
          <w:p w14:paraId="0F9CDDED" w14:textId="77777777" w:rsidR="000A5EC7" w:rsidRPr="003A71FD" w:rsidRDefault="000A5EC7" w:rsidP="002B1B31">
            <w:pPr>
              <w:rPr>
                <w:rFonts w:cstheme="minorHAnsi"/>
                <w:bCs/>
              </w:rPr>
            </w:pPr>
            <w:r w:rsidRPr="003A71FD">
              <w:rPr>
                <w:rFonts w:cstheme="minorHAnsi"/>
                <w:bCs/>
              </w:rPr>
              <w:t>Telephone:</w:t>
            </w:r>
          </w:p>
        </w:tc>
        <w:tc>
          <w:tcPr>
            <w:tcW w:w="1694" w:type="dxa"/>
            <w:shd w:val="clear" w:color="auto" w:fill="auto"/>
          </w:tcPr>
          <w:p w14:paraId="0FFA7F61" w14:textId="77777777" w:rsidR="000A5EC7" w:rsidRPr="003A71FD" w:rsidRDefault="000A5EC7" w:rsidP="002B1B31">
            <w:pPr>
              <w:rPr>
                <w:rFonts w:cstheme="minorHAnsi"/>
                <w:bCs/>
              </w:rPr>
            </w:pPr>
            <w:r w:rsidRPr="003A71FD">
              <w:rPr>
                <w:rFonts w:cstheme="minorHAnsi"/>
                <w:bCs/>
              </w:rPr>
              <w:t>Date:</w:t>
            </w:r>
          </w:p>
        </w:tc>
      </w:tr>
      <w:tr w:rsidR="003A71FD" w:rsidRPr="003A71FD" w14:paraId="79A1453A" w14:textId="77777777" w:rsidTr="002B1B31">
        <w:tc>
          <w:tcPr>
            <w:tcW w:w="3148" w:type="dxa"/>
            <w:shd w:val="clear" w:color="auto" w:fill="auto"/>
          </w:tcPr>
          <w:p w14:paraId="3AB6690B" w14:textId="77777777" w:rsidR="000A5EC7" w:rsidRPr="003A71FD" w:rsidRDefault="000A5EC7" w:rsidP="002B1B31">
            <w:pPr>
              <w:rPr>
                <w:rFonts w:cstheme="minorHAnsi"/>
                <w:bCs/>
              </w:rPr>
            </w:pPr>
          </w:p>
          <w:p w14:paraId="02E8933B" w14:textId="77777777" w:rsidR="000A5EC7" w:rsidRPr="003A71FD" w:rsidRDefault="000A5EC7" w:rsidP="002B1B31">
            <w:pPr>
              <w:rPr>
                <w:rFonts w:cstheme="minorHAnsi"/>
                <w:bCs/>
              </w:rPr>
            </w:pPr>
            <w:r w:rsidRPr="003A71FD">
              <w:rPr>
                <w:rFonts w:cstheme="minorHAnsi"/>
                <w:bCs/>
              </w:rPr>
              <w:fldChar w:fldCharType="begin"/>
            </w:r>
            <w:r w:rsidRPr="003A71FD">
              <w:rPr>
                <w:rFonts w:cstheme="minorHAnsi"/>
                <w:bCs/>
              </w:rPr>
              <w:instrText xml:space="preserve"> DOCPROPERTY  LeadOfficer  \* MERGEFORMAT </w:instrText>
            </w:r>
            <w:r w:rsidRPr="003A71FD">
              <w:rPr>
                <w:rFonts w:cstheme="minorHAnsi"/>
                <w:bCs/>
              </w:rPr>
              <w:fldChar w:fldCharType="separate"/>
            </w:r>
            <w:r w:rsidRPr="003A71FD">
              <w:rPr>
                <w:rFonts w:cstheme="minorHAnsi"/>
                <w:bCs/>
              </w:rPr>
              <w:t>Steve Kenyon</w:t>
            </w:r>
            <w:r w:rsidRPr="003A71FD">
              <w:rPr>
                <w:rFonts w:cstheme="minorHAnsi"/>
                <w:bCs/>
                <w:lang w:val="en-US"/>
              </w:rPr>
              <w:fldChar w:fldCharType="end"/>
            </w:r>
            <w:r w:rsidRPr="003A71FD">
              <w:rPr>
                <w:rFonts w:cstheme="minorHAnsi"/>
                <w:bCs/>
              </w:rPr>
              <w:t xml:space="preserve"> (Interim Deputy Director of Finance)</w:t>
            </w:r>
          </w:p>
          <w:p w14:paraId="2F64F5CF" w14:textId="77777777" w:rsidR="000A5EC7" w:rsidRPr="003A71FD" w:rsidRDefault="000A5EC7" w:rsidP="002B1B31">
            <w:pPr>
              <w:rPr>
                <w:rFonts w:cstheme="minorHAnsi"/>
                <w:bCs/>
              </w:rPr>
            </w:pPr>
          </w:p>
        </w:tc>
        <w:tc>
          <w:tcPr>
            <w:tcW w:w="3213" w:type="dxa"/>
          </w:tcPr>
          <w:p w14:paraId="4F36C298" w14:textId="77777777" w:rsidR="000A5EC7" w:rsidRPr="003A71FD" w:rsidRDefault="000A5EC7" w:rsidP="002B1B31">
            <w:pPr>
              <w:rPr>
                <w:rFonts w:cstheme="minorHAnsi"/>
                <w:bCs/>
              </w:rPr>
            </w:pPr>
          </w:p>
          <w:p w14:paraId="02D41B23" w14:textId="37A3C6A9" w:rsidR="000A5EC7" w:rsidRPr="003A71FD" w:rsidRDefault="000A5EC7" w:rsidP="002B1B31">
            <w:pPr>
              <w:rPr>
                <w:rFonts w:cstheme="minorHAnsi"/>
                <w:bCs/>
              </w:rPr>
            </w:pPr>
            <w:r w:rsidRPr="003A71FD">
              <w:rPr>
                <w:rFonts w:cstheme="minorHAnsi"/>
                <w:bCs/>
              </w:rPr>
              <w:fldChar w:fldCharType="begin"/>
            </w:r>
            <w:r w:rsidRPr="003A71FD">
              <w:rPr>
                <w:rFonts w:cstheme="minorHAnsi"/>
                <w:bCs/>
              </w:rPr>
              <w:instrText xml:space="preserve"> DOCPROPERTY  LeadOfficerEmail  \* MERGEFORMAT </w:instrText>
            </w:r>
            <w:r w:rsidRPr="003A71FD">
              <w:rPr>
                <w:rFonts w:cstheme="minorHAnsi"/>
                <w:bCs/>
              </w:rPr>
              <w:fldChar w:fldCharType="separate"/>
            </w:r>
            <w:r w:rsidRPr="003A71FD">
              <w:rPr>
                <w:rFonts w:cstheme="minorHAnsi"/>
                <w:bCs/>
              </w:rPr>
              <w:t>steve.kenyon@</w:t>
            </w:r>
            <w:r w:rsidR="003A71FD" w:rsidRPr="003A71FD">
              <w:rPr>
                <w:rFonts w:cstheme="minorHAnsi"/>
                <w:bCs/>
              </w:rPr>
              <w:t>southribble</w:t>
            </w:r>
            <w:r w:rsidRPr="003A71FD">
              <w:rPr>
                <w:rFonts w:cstheme="minorHAnsi"/>
                <w:bCs/>
              </w:rPr>
              <w:t>.gov.uk</w:t>
            </w:r>
            <w:r w:rsidRPr="003A71FD">
              <w:rPr>
                <w:rFonts w:cstheme="minorHAnsi"/>
                <w:bCs/>
              </w:rPr>
              <w:fldChar w:fldCharType="end"/>
            </w:r>
          </w:p>
        </w:tc>
        <w:tc>
          <w:tcPr>
            <w:tcW w:w="1471" w:type="dxa"/>
            <w:shd w:val="clear" w:color="auto" w:fill="auto"/>
          </w:tcPr>
          <w:p w14:paraId="1E21BFFE" w14:textId="77777777" w:rsidR="000A5EC7" w:rsidRPr="003A71FD" w:rsidRDefault="000A5EC7" w:rsidP="002B1B31">
            <w:pPr>
              <w:rPr>
                <w:rFonts w:cstheme="minorHAnsi"/>
                <w:bCs/>
              </w:rPr>
            </w:pPr>
          </w:p>
          <w:p w14:paraId="0FCF488C" w14:textId="77777777" w:rsidR="000A5EC7" w:rsidRPr="003A71FD" w:rsidRDefault="000A5EC7" w:rsidP="002B1B31">
            <w:pPr>
              <w:rPr>
                <w:rFonts w:cstheme="minorHAnsi"/>
                <w:bCs/>
              </w:rPr>
            </w:pPr>
            <w:r w:rsidRPr="003A71FD">
              <w:rPr>
                <w:rFonts w:cstheme="minorHAnsi"/>
                <w:bCs/>
              </w:rPr>
              <w:t>n/a</w:t>
            </w:r>
          </w:p>
        </w:tc>
        <w:tc>
          <w:tcPr>
            <w:tcW w:w="1694" w:type="dxa"/>
            <w:shd w:val="clear" w:color="auto" w:fill="auto"/>
          </w:tcPr>
          <w:p w14:paraId="1E1EE21A" w14:textId="77777777" w:rsidR="000A5EC7" w:rsidRPr="003A71FD" w:rsidRDefault="000A5EC7" w:rsidP="002B1B31">
            <w:pPr>
              <w:rPr>
                <w:rFonts w:cstheme="minorHAnsi"/>
                <w:bCs/>
              </w:rPr>
            </w:pPr>
          </w:p>
          <w:p w14:paraId="21D4BE9D" w14:textId="139F8FE5" w:rsidR="000A5EC7" w:rsidRPr="003A71FD" w:rsidRDefault="00BC1477" w:rsidP="002B1B31">
            <w:pPr>
              <w:rPr>
                <w:rFonts w:cstheme="minorHAnsi"/>
                <w:bCs/>
              </w:rPr>
            </w:pPr>
            <w:r>
              <w:rPr>
                <w:rFonts w:cstheme="minorHAnsi"/>
                <w:bCs/>
              </w:rPr>
              <w:t>9</w:t>
            </w:r>
            <w:r w:rsidRPr="00BC1477">
              <w:rPr>
                <w:rFonts w:cstheme="minorHAnsi"/>
                <w:bCs/>
                <w:vertAlign w:val="superscript"/>
              </w:rPr>
              <w:t>th</w:t>
            </w:r>
            <w:r>
              <w:rPr>
                <w:rFonts w:cstheme="minorHAnsi"/>
                <w:bCs/>
              </w:rPr>
              <w:t xml:space="preserve"> November</w:t>
            </w:r>
            <w:r w:rsidR="000A5EC7" w:rsidRPr="003A71FD">
              <w:rPr>
                <w:rFonts w:cstheme="minorHAnsi"/>
                <w:bCs/>
              </w:rPr>
              <w:t xml:space="preserve"> 2022</w:t>
            </w:r>
          </w:p>
        </w:tc>
      </w:tr>
    </w:tbl>
    <w:p w14:paraId="3AE9CB1D" w14:textId="77777777" w:rsidR="000A5EC7" w:rsidRPr="00813697" w:rsidRDefault="000A5EC7" w:rsidP="000A5EC7">
      <w:pPr>
        <w:pBdr>
          <w:left w:val="single" w:sz="2" w:space="0" w:color="FFFFFF"/>
          <w:bottom w:val="single" w:sz="2" w:space="2" w:color="FFFFFF"/>
          <w:right w:val="single" w:sz="2" w:space="4" w:color="FFFFFF"/>
        </w:pBdr>
        <w:tabs>
          <w:tab w:val="left" w:pos="567"/>
        </w:tabs>
        <w:rPr>
          <w:rFonts w:cstheme="minorHAnsi"/>
          <w:color w:val="4F81BD" w:themeColor="accent1"/>
        </w:rPr>
      </w:pPr>
    </w:p>
    <w:p w14:paraId="3621F9EB" w14:textId="77777777" w:rsidR="000A5EC7" w:rsidRPr="00813697" w:rsidRDefault="000A5EC7" w:rsidP="000A5EC7">
      <w:pPr>
        <w:pBdr>
          <w:left w:val="single" w:sz="2" w:space="0" w:color="FFFFFF"/>
          <w:bottom w:val="single" w:sz="2" w:space="2" w:color="FFFFFF"/>
          <w:right w:val="single" w:sz="2" w:space="4" w:color="FFFFFF"/>
        </w:pBdr>
        <w:tabs>
          <w:tab w:val="left" w:pos="567"/>
        </w:tabs>
        <w:jc w:val="right"/>
        <w:rPr>
          <w:rFonts w:cstheme="minorHAnsi"/>
          <w:color w:val="4F81BD" w:themeColor="accent1"/>
        </w:rPr>
      </w:pPr>
    </w:p>
    <w:p w14:paraId="507D72CE" w14:textId="77777777" w:rsidR="000A5EC7" w:rsidRPr="00813697" w:rsidRDefault="000A5EC7" w:rsidP="000A5EC7">
      <w:pPr>
        <w:pBdr>
          <w:left w:val="single" w:sz="2" w:space="0" w:color="FFFFFF"/>
          <w:bottom w:val="single" w:sz="2" w:space="2" w:color="FFFFFF"/>
          <w:right w:val="single" w:sz="2" w:space="4" w:color="FFFFFF"/>
        </w:pBdr>
        <w:tabs>
          <w:tab w:val="left" w:pos="567"/>
        </w:tabs>
        <w:jc w:val="right"/>
        <w:rPr>
          <w:rFonts w:cstheme="minorHAnsi"/>
          <w:color w:val="4F81BD" w:themeColor="accent1"/>
        </w:rPr>
      </w:pPr>
    </w:p>
    <w:p w14:paraId="77AA18C8" w14:textId="77777777" w:rsidR="000A5EC7" w:rsidRPr="00813697" w:rsidRDefault="000A5EC7" w:rsidP="000A5EC7">
      <w:pPr>
        <w:pBdr>
          <w:left w:val="single" w:sz="2" w:space="0" w:color="FFFFFF"/>
          <w:bottom w:val="single" w:sz="2" w:space="2" w:color="FFFFFF"/>
          <w:right w:val="single" w:sz="2" w:space="4" w:color="FFFFFF"/>
        </w:pBdr>
        <w:tabs>
          <w:tab w:val="left" w:pos="567"/>
        </w:tabs>
        <w:jc w:val="right"/>
        <w:rPr>
          <w:rFonts w:cstheme="minorHAnsi"/>
          <w:color w:val="4F81BD" w:themeColor="accent1"/>
        </w:rPr>
      </w:pPr>
    </w:p>
    <w:p w14:paraId="5385A997" w14:textId="5642C020" w:rsidR="000A5EC7" w:rsidRDefault="000A5EC7" w:rsidP="000A5EC7">
      <w:pPr>
        <w:pBdr>
          <w:left w:val="single" w:sz="2" w:space="0" w:color="FFFFFF"/>
          <w:bottom w:val="single" w:sz="2" w:space="2" w:color="FFFFFF"/>
          <w:right w:val="single" w:sz="2" w:space="4" w:color="FFFFFF"/>
        </w:pBdr>
        <w:tabs>
          <w:tab w:val="left" w:pos="567"/>
        </w:tabs>
        <w:jc w:val="right"/>
        <w:rPr>
          <w:rFonts w:cstheme="minorHAnsi"/>
          <w:color w:val="4F81BD" w:themeColor="accent1"/>
        </w:rPr>
      </w:pPr>
    </w:p>
    <w:p w14:paraId="59D1757F" w14:textId="53957C3A" w:rsidR="00532176" w:rsidRDefault="00532176" w:rsidP="000A5EC7">
      <w:pPr>
        <w:pBdr>
          <w:left w:val="single" w:sz="2" w:space="0" w:color="FFFFFF"/>
          <w:bottom w:val="single" w:sz="2" w:space="2" w:color="FFFFFF"/>
          <w:right w:val="single" w:sz="2" w:space="4" w:color="FFFFFF"/>
        </w:pBdr>
        <w:tabs>
          <w:tab w:val="left" w:pos="567"/>
        </w:tabs>
        <w:jc w:val="right"/>
        <w:rPr>
          <w:rFonts w:cstheme="minorHAnsi"/>
          <w:color w:val="4F81BD" w:themeColor="accent1"/>
        </w:rPr>
      </w:pPr>
    </w:p>
    <w:p w14:paraId="28CB96E9" w14:textId="25693A51" w:rsidR="00532176" w:rsidRDefault="00532176" w:rsidP="000A5EC7">
      <w:pPr>
        <w:pBdr>
          <w:left w:val="single" w:sz="2" w:space="0" w:color="FFFFFF"/>
          <w:bottom w:val="single" w:sz="2" w:space="2" w:color="FFFFFF"/>
          <w:right w:val="single" w:sz="2" w:space="4" w:color="FFFFFF"/>
        </w:pBdr>
        <w:tabs>
          <w:tab w:val="left" w:pos="567"/>
        </w:tabs>
        <w:jc w:val="right"/>
        <w:rPr>
          <w:rFonts w:cstheme="minorHAnsi"/>
          <w:color w:val="4F81BD" w:themeColor="accent1"/>
        </w:rPr>
      </w:pPr>
    </w:p>
    <w:p w14:paraId="50EF0ED1" w14:textId="7E183626" w:rsidR="00532176" w:rsidRDefault="00532176" w:rsidP="000A5EC7">
      <w:pPr>
        <w:pBdr>
          <w:left w:val="single" w:sz="2" w:space="0" w:color="FFFFFF"/>
          <w:bottom w:val="single" w:sz="2" w:space="2" w:color="FFFFFF"/>
          <w:right w:val="single" w:sz="2" w:space="4" w:color="FFFFFF"/>
        </w:pBdr>
        <w:tabs>
          <w:tab w:val="left" w:pos="567"/>
        </w:tabs>
        <w:jc w:val="right"/>
        <w:rPr>
          <w:rFonts w:cstheme="minorHAnsi"/>
          <w:color w:val="4F81BD" w:themeColor="accent1"/>
        </w:rPr>
      </w:pPr>
    </w:p>
    <w:p w14:paraId="01E241ED" w14:textId="6007C6C9" w:rsidR="00532176" w:rsidRDefault="00532176" w:rsidP="000A5EC7">
      <w:pPr>
        <w:pBdr>
          <w:left w:val="single" w:sz="2" w:space="0" w:color="FFFFFF"/>
          <w:bottom w:val="single" w:sz="2" w:space="2" w:color="FFFFFF"/>
          <w:right w:val="single" w:sz="2" w:space="4" w:color="FFFFFF"/>
        </w:pBdr>
        <w:tabs>
          <w:tab w:val="left" w:pos="567"/>
        </w:tabs>
        <w:jc w:val="right"/>
        <w:rPr>
          <w:rFonts w:cstheme="minorHAnsi"/>
          <w:color w:val="4F81BD" w:themeColor="accent1"/>
        </w:rPr>
      </w:pPr>
    </w:p>
    <w:p w14:paraId="2561F4E0" w14:textId="39FBF66A" w:rsidR="00532176" w:rsidRDefault="00532176" w:rsidP="000A5EC7">
      <w:pPr>
        <w:pBdr>
          <w:left w:val="single" w:sz="2" w:space="0" w:color="FFFFFF"/>
          <w:bottom w:val="single" w:sz="2" w:space="2" w:color="FFFFFF"/>
          <w:right w:val="single" w:sz="2" w:space="4" w:color="FFFFFF"/>
        </w:pBdr>
        <w:tabs>
          <w:tab w:val="left" w:pos="567"/>
        </w:tabs>
        <w:jc w:val="right"/>
        <w:rPr>
          <w:rFonts w:cstheme="minorHAnsi"/>
          <w:color w:val="4F81BD" w:themeColor="accent1"/>
        </w:rPr>
      </w:pPr>
    </w:p>
    <w:p w14:paraId="12290D76" w14:textId="77777777" w:rsidR="00532176" w:rsidRPr="00813697" w:rsidRDefault="00532176" w:rsidP="000A5EC7">
      <w:pPr>
        <w:pBdr>
          <w:left w:val="single" w:sz="2" w:space="0" w:color="FFFFFF"/>
          <w:bottom w:val="single" w:sz="2" w:space="2" w:color="FFFFFF"/>
          <w:right w:val="single" w:sz="2" w:space="4" w:color="FFFFFF"/>
        </w:pBdr>
        <w:tabs>
          <w:tab w:val="left" w:pos="567"/>
        </w:tabs>
        <w:jc w:val="right"/>
        <w:rPr>
          <w:rFonts w:cstheme="minorHAnsi"/>
          <w:color w:val="4F81BD" w:themeColor="accent1"/>
        </w:rPr>
      </w:pPr>
    </w:p>
    <w:p w14:paraId="49C7E64A" w14:textId="77777777" w:rsidR="000A5EC7" w:rsidRPr="00813697" w:rsidRDefault="000A5EC7" w:rsidP="000A5EC7">
      <w:pPr>
        <w:pBdr>
          <w:left w:val="single" w:sz="2" w:space="0" w:color="FFFFFF"/>
          <w:bottom w:val="single" w:sz="2" w:space="2" w:color="FFFFFF"/>
          <w:right w:val="single" w:sz="2" w:space="4" w:color="FFFFFF"/>
        </w:pBdr>
        <w:tabs>
          <w:tab w:val="left" w:pos="567"/>
        </w:tabs>
        <w:jc w:val="right"/>
        <w:rPr>
          <w:rFonts w:cstheme="minorHAnsi"/>
          <w:color w:val="4F81BD" w:themeColor="accent1"/>
        </w:rPr>
      </w:pPr>
    </w:p>
    <w:p w14:paraId="3442BE6A" w14:textId="77777777" w:rsidR="000A5EC7" w:rsidRPr="003A71FD" w:rsidRDefault="000A5EC7" w:rsidP="000A5EC7">
      <w:pPr>
        <w:pBdr>
          <w:left w:val="single" w:sz="2" w:space="0" w:color="FFFFFF"/>
          <w:bottom w:val="single" w:sz="2" w:space="2" w:color="FFFFFF"/>
          <w:right w:val="single" w:sz="2" w:space="4" w:color="FFFFFF"/>
        </w:pBdr>
        <w:tabs>
          <w:tab w:val="left" w:pos="567"/>
        </w:tabs>
        <w:jc w:val="right"/>
        <w:rPr>
          <w:rFonts w:cstheme="minorHAnsi"/>
          <w:b/>
          <w:bCs/>
        </w:rPr>
      </w:pPr>
      <w:r w:rsidRPr="003A71FD">
        <w:rPr>
          <w:rFonts w:cstheme="minorHAnsi"/>
          <w:b/>
          <w:bCs/>
        </w:rPr>
        <w:lastRenderedPageBreak/>
        <w:t>APPENDIX A</w:t>
      </w:r>
    </w:p>
    <w:p w14:paraId="532B0CE8" w14:textId="72CF12A1" w:rsidR="000A5EC7" w:rsidRPr="00813697" w:rsidRDefault="00F02674" w:rsidP="000A5EC7">
      <w:pPr>
        <w:pBdr>
          <w:left w:val="single" w:sz="2" w:space="0" w:color="FFFFFF"/>
          <w:bottom w:val="single" w:sz="2" w:space="2" w:color="FFFFFF"/>
          <w:right w:val="single" w:sz="2" w:space="4" w:color="FFFFFF"/>
        </w:pBdr>
        <w:tabs>
          <w:tab w:val="left" w:pos="567"/>
        </w:tabs>
        <w:rPr>
          <w:rFonts w:cstheme="minorHAnsi"/>
          <w:color w:val="4F81BD" w:themeColor="accent1"/>
        </w:rPr>
      </w:pPr>
      <w:r>
        <w:rPr>
          <w:rFonts w:cs="Arial"/>
        </w:rPr>
        <w:object w:dxaOrig="9384" w:dyaOrig="9087" w14:anchorId="60853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454.5pt" o:ole="">
            <v:imagedata r:id="rId10" o:title=""/>
          </v:shape>
          <o:OLEObject Type="Embed" ProgID="Excel.Sheet.12" ShapeID="_x0000_i1025" DrawAspect="Content" ObjectID="_1729937842" r:id="rId11"/>
        </w:object>
      </w:r>
    </w:p>
    <w:p w14:paraId="359AFBD8" w14:textId="716AF250" w:rsidR="000A5EC7" w:rsidRPr="00813697" w:rsidRDefault="00F02674" w:rsidP="000A5EC7">
      <w:pPr>
        <w:pBdr>
          <w:left w:val="single" w:sz="2" w:space="0" w:color="FFFFFF"/>
          <w:bottom w:val="single" w:sz="2" w:space="2" w:color="FFFFFF"/>
          <w:right w:val="single" w:sz="2" w:space="4" w:color="FFFFFF"/>
        </w:pBdr>
        <w:tabs>
          <w:tab w:val="left" w:pos="567"/>
        </w:tabs>
        <w:rPr>
          <w:rFonts w:cstheme="minorHAnsi"/>
          <w:color w:val="4F81BD" w:themeColor="accent1"/>
        </w:rPr>
      </w:pPr>
      <w:r w:rsidRPr="00AD74B6">
        <w:rPr>
          <w:noProof/>
        </w:rPr>
        <w:drawing>
          <wp:inline distT="0" distB="0" distL="0" distR="0" wp14:anchorId="589EF0D0" wp14:editId="287A285B">
            <wp:extent cx="4105275" cy="1514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5275" cy="1514475"/>
                    </a:xfrm>
                    <a:prstGeom prst="rect">
                      <a:avLst/>
                    </a:prstGeom>
                    <a:noFill/>
                    <a:ln>
                      <a:noFill/>
                    </a:ln>
                  </pic:spPr>
                </pic:pic>
              </a:graphicData>
            </a:graphic>
          </wp:inline>
        </w:drawing>
      </w:r>
    </w:p>
    <w:p w14:paraId="15BC65F6" w14:textId="77777777" w:rsidR="000A5EC7" w:rsidRPr="00813697" w:rsidRDefault="000A5EC7" w:rsidP="000A5EC7">
      <w:pPr>
        <w:pBdr>
          <w:left w:val="single" w:sz="2" w:space="0" w:color="FFFFFF"/>
          <w:bottom w:val="single" w:sz="2" w:space="2" w:color="FFFFFF"/>
          <w:right w:val="single" w:sz="2" w:space="4" w:color="FFFFFF"/>
        </w:pBdr>
        <w:tabs>
          <w:tab w:val="left" w:pos="567"/>
        </w:tabs>
        <w:rPr>
          <w:rFonts w:cstheme="minorHAnsi"/>
          <w:color w:val="4F81BD" w:themeColor="accent1"/>
        </w:rPr>
      </w:pPr>
    </w:p>
    <w:p w14:paraId="77A055B2" w14:textId="697B2C41" w:rsidR="000A5EC7" w:rsidRPr="00813697" w:rsidRDefault="000A5EC7" w:rsidP="000A5EC7">
      <w:pPr>
        <w:pBdr>
          <w:left w:val="single" w:sz="2" w:space="0" w:color="FFFFFF"/>
          <w:bottom w:val="single" w:sz="2" w:space="2" w:color="FFFFFF"/>
          <w:right w:val="single" w:sz="2" w:space="4" w:color="FFFFFF"/>
        </w:pBdr>
        <w:tabs>
          <w:tab w:val="left" w:pos="567"/>
        </w:tabs>
        <w:rPr>
          <w:rFonts w:cstheme="minorHAnsi"/>
          <w:color w:val="4F81BD" w:themeColor="accent1"/>
        </w:rPr>
        <w:sectPr w:rsidR="000A5EC7" w:rsidRPr="00813697" w:rsidSect="00EF3BE6">
          <w:pgSz w:w="11907" w:h="16840" w:code="9"/>
          <w:pgMar w:top="1134" w:right="1134" w:bottom="851" w:left="1134" w:header="680" w:footer="374" w:gutter="0"/>
          <w:paperSrc w:first="2" w:other="2"/>
          <w:cols w:space="720"/>
          <w:titlePg/>
          <w:docGrid w:linePitch="326"/>
        </w:sectPr>
      </w:pPr>
    </w:p>
    <w:p w14:paraId="5D048ADE" w14:textId="77777777" w:rsidR="000A5EC7" w:rsidRPr="00813697" w:rsidRDefault="000A5EC7" w:rsidP="000A5EC7">
      <w:pPr>
        <w:pBdr>
          <w:left w:val="single" w:sz="2" w:space="0" w:color="FFFFFF"/>
          <w:bottom w:val="single" w:sz="2" w:space="2" w:color="FFFFFF"/>
          <w:right w:val="single" w:sz="2" w:space="4" w:color="FFFFFF"/>
        </w:pBdr>
        <w:tabs>
          <w:tab w:val="left" w:pos="567"/>
        </w:tabs>
        <w:rPr>
          <w:rFonts w:cstheme="minorHAnsi"/>
          <w:color w:val="4F81BD" w:themeColor="accent1"/>
        </w:rPr>
      </w:pPr>
    </w:p>
    <w:p w14:paraId="5A091B62" w14:textId="78A55BA4" w:rsidR="00BC1477" w:rsidRPr="00BC1477" w:rsidRDefault="00BC1477" w:rsidP="00BC1477">
      <w:pPr>
        <w:pStyle w:val="Heading2"/>
        <w:rPr>
          <w:rFonts w:asciiTheme="majorHAnsi" w:hAnsiTheme="majorHAnsi" w:cstheme="majorHAnsi"/>
          <w:sz w:val="28"/>
          <w:szCs w:val="28"/>
        </w:rPr>
      </w:pPr>
      <w:r w:rsidRPr="00BC1477">
        <w:rPr>
          <w:rFonts w:asciiTheme="majorHAnsi" w:hAnsiTheme="majorHAnsi" w:cstheme="majorHAnsi"/>
          <w:sz w:val="28"/>
          <w:szCs w:val="28"/>
        </w:rPr>
        <w:t xml:space="preserve">Summarised </w:t>
      </w:r>
      <w:r w:rsidR="001F2DEA">
        <w:rPr>
          <w:rFonts w:asciiTheme="majorHAnsi" w:hAnsiTheme="majorHAnsi" w:cstheme="majorHAnsi"/>
          <w:sz w:val="28"/>
          <w:szCs w:val="28"/>
        </w:rPr>
        <w:t xml:space="preserve">from </w:t>
      </w:r>
      <w:r w:rsidRPr="00BC1477">
        <w:rPr>
          <w:rFonts w:asciiTheme="majorHAnsi" w:hAnsiTheme="majorHAnsi" w:cstheme="majorHAnsi"/>
          <w:sz w:val="28"/>
          <w:szCs w:val="28"/>
        </w:rPr>
        <w:t xml:space="preserve">Link </w:t>
      </w:r>
      <w:r w:rsidR="001F2DEA">
        <w:rPr>
          <w:rFonts w:asciiTheme="majorHAnsi" w:hAnsiTheme="majorHAnsi" w:cstheme="majorHAnsi"/>
          <w:sz w:val="28"/>
          <w:szCs w:val="28"/>
        </w:rPr>
        <w:t xml:space="preserve">Treasury Advisors </w:t>
      </w:r>
      <w:r w:rsidRPr="00BC1477">
        <w:rPr>
          <w:rFonts w:asciiTheme="majorHAnsi" w:hAnsiTheme="majorHAnsi" w:cstheme="majorHAnsi"/>
          <w:sz w:val="28"/>
          <w:szCs w:val="28"/>
        </w:rPr>
        <w:t>- The Economy and Interest Rates 2022/23</w:t>
      </w:r>
    </w:p>
    <w:p w14:paraId="1DA8A943" w14:textId="77777777" w:rsidR="00BC1477" w:rsidRDefault="00BC1477" w:rsidP="00BC1477">
      <w:pPr>
        <w:pStyle w:val="Default"/>
        <w:rPr>
          <w:b/>
          <w:bCs/>
          <w:sz w:val="22"/>
          <w:szCs w:val="22"/>
        </w:rPr>
      </w:pPr>
      <w:r>
        <w:rPr>
          <w:b/>
          <w:bCs/>
          <w:sz w:val="22"/>
          <w:szCs w:val="22"/>
        </w:rPr>
        <w:t xml:space="preserve">INFLATION / </w:t>
      </w:r>
      <w:r w:rsidRPr="00534FC9">
        <w:rPr>
          <w:b/>
          <w:bCs/>
          <w:sz w:val="22"/>
          <w:szCs w:val="22"/>
        </w:rPr>
        <w:t>BANK RATE</w:t>
      </w:r>
      <w:r>
        <w:rPr>
          <w:b/>
          <w:bCs/>
          <w:sz w:val="22"/>
          <w:szCs w:val="22"/>
        </w:rPr>
        <w:t>S</w:t>
      </w:r>
      <w:r w:rsidRPr="00534FC9">
        <w:rPr>
          <w:b/>
          <w:bCs/>
          <w:sz w:val="22"/>
          <w:szCs w:val="22"/>
        </w:rPr>
        <w:t xml:space="preserve"> </w:t>
      </w:r>
    </w:p>
    <w:p w14:paraId="6A723878" w14:textId="77777777" w:rsidR="00BC1477" w:rsidRPr="00534FC9" w:rsidRDefault="00BC1477" w:rsidP="00BC1477">
      <w:pPr>
        <w:pStyle w:val="Default"/>
        <w:rPr>
          <w:sz w:val="22"/>
          <w:szCs w:val="22"/>
        </w:rPr>
      </w:pPr>
    </w:p>
    <w:p w14:paraId="3AED3839" w14:textId="77777777" w:rsidR="00BC1477" w:rsidRDefault="00BC1477" w:rsidP="00BC1477">
      <w:pPr>
        <w:pStyle w:val="Default"/>
        <w:spacing w:after="145"/>
        <w:jc w:val="both"/>
        <w:rPr>
          <w:sz w:val="22"/>
          <w:szCs w:val="22"/>
        </w:rPr>
      </w:pPr>
      <w:r w:rsidRPr="00534FC9">
        <w:rPr>
          <w:sz w:val="22"/>
          <w:szCs w:val="22"/>
        </w:rPr>
        <w:t xml:space="preserve">The CPI measure of inflation </w:t>
      </w:r>
      <w:r>
        <w:rPr>
          <w:sz w:val="22"/>
          <w:szCs w:val="22"/>
        </w:rPr>
        <w:t>is expected to</w:t>
      </w:r>
      <w:r w:rsidRPr="00534FC9">
        <w:rPr>
          <w:sz w:val="22"/>
          <w:szCs w:val="22"/>
        </w:rPr>
        <w:t xml:space="preserve"> peak at close to 11% in Q4 2022. </w:t>
      </w:r>
    </w:p>
    <w:p w14:paraId="3992BA60" w14:textId="1AA8F314" w:rsidR="00BC1477" w:rsidRDefault="00BC1477" w:rsidP="00BC1477">
      <w:pPr>
        <w:rPr>
          <w:rFonts w:cs="Arial"/>
        </w:rPr>
      </w:pPr>
      <w:r w:rsidRPr="00534FC9">
        <w:rPr>
          <w:rFonts w:cs="Arial"/>
        </w:rPr>
        <w:t xml:space="preserve">We now expect the </w:t>
      </w:r>
      <w:r w:rsidR="001F2DEA">
        <w:rPr>
          <w:rFonts w:cs="Arial"/>
        </w:rPr>
        <w:t>Monetary Policy Committee (</w:t>
      </w:r>
      <w:r w:rsidRPr="00534FC9">
        <w:rPr>
          <w:rFonts w:cs="Arial"/>
        </w:rPr>
        <w:t>MPC</w:t>
      </w:r>
      <w:r w:rsidR="001F2DEA">
        <w:rPr>
          <w:rFonts w:cs="Arial"/>
        </w:rPr>
        <w:t>)</w:t>
      </w:r>
      <w:r w:rsidRPr="00534FC9">
        <w:rPr>
          <w:rFonts w:cs="Arial"/>
        </w:rPr>
        <w:t xml:space="preserve"> to swiftly increase </w:t>
      </w:r>
      <w:r w:rsidR="001F2DEA">
        <w:rPr>
          <w:rFonts w:cs="Arial"/>
        </w:rPr>
        <w:t xml:space="preserve">the </w:t>
      </w:r>
      <w:r w:rsidRPr="00534FC9">
        <w:rPr>
          <w:rFonts w:cs="Arial"/>
        </w:rPr>
        <w:t xml:space="preserve">Bank Rate during the remainder of 2022 and into Q2 2023 to combat the sharp increase in inflationary pressures. </w:t>
      </w:r>
    </w:p>
    <w:p w14:paraId="49B7F3F7" w14:textId="77777777" w:rsidR="00BC1477" w:rsidRDefault="00BC1477" w:rsidP="00BC1477">
      <w:pPr>
        <w:rPr>
          <w:rFonts w:cs="Arial"/>
        </w:rPr>
      </w:pPr>
      <w:r w:rsidRPr="00534FC9">
        <w:rPr>
          <w:rFonts w:cs="Arial"/>
        </w:rPr>
        <w:t>We do not think that the MPC will embark on a series of increases in Bank Rate that would take it to more than 4.5%, but it is possible.</w:t>
      </w:r>
    </w:p>
    <w:p w14:paraId="62442B4B" w14:textId="77777777" w:rsidR="00BC1477" w:rsidRPr="00534FC9" w:rsidRDefault="00BC1477" w:rsidP="00BC1477">
      <w:pPr>
        <w:pStyle w:val="Default"/>
        <w:spacing w:after="145"/>
        <w:jc w:val="both"/>
        <w:rPr>
          <w:sz w:val="22"/>
          <w:szCs w:val="22"/>
        </w:rPr>
      </w:pPr>
      <w:r w:rsidRPr="00534FC9">
        <w:rPr>
          <w:sz w:val="22"/>
          <w:szCs w:val="22"/>
        </w:rPr>
        <w:t xml:space="preserve">In the upcoming months, our forecasts will be guided not only by economic data releases and clarifications from the MPC over its monetary policies and the Government over its fiscal policies, but the on-going conflict between Russia and Ukraine. (More recently, the heightened tensions between China/Taiwan/US also have the potential to have a wider and negative economic impact.) </w:t>
      </w:r>
    </w:p>
    <w:p w14:paraId="6C3DBE53" w14:textId="77777777" w:rsidR="00BC1477" w:rsidRPr="00534FC9" w:rsidRDefault="00BC1477" w:rsidP="00BC1477">
      <w:pPr>
        <w:pStyle w:val="Default"/>
        <w:jc w:val="both"/>
        <w:rPr>
          <w:sz w:val="22"/>
          <w:szCs w:val="22"/>
        </w:rPr>
      </w:pPr>
    </w:p>
    <w:p w14:paraId="17BB6D71" w14:textId="77777777" w:rsidR="00BC1477" w:rsidRDefault="00BC1477" w:rsidP="00BC1477">
      <w:pPr>
        <w:pStyle w:val="Default"/>
        <w:jc w:val="both"/>
        <w:rPr>
          <w:b/>
          <w:bCs/>
          <w:sz w:val="22"/>
          <w:szCs w:val="22"/>
        </w:rPr>
      </w:pPr>
      <w:r w:rsidRPr="00534FC9">
        <w:rPr>
          <w:b/>
          <w:bCs/>
          <w:sz w:val="22"/>
          <w:szCs w:val="22"/>
        </w:rPr>
        <w:t xml:space="preserve">THE BALANCE OF RISKS TO THE UK ECONOMY </w:t>
      </w:r>
    </w:p>
    <w:p w14:paraId="0C624220" w14:textId="77777777" w:rsidR="00BC1477" w:rsidRDefault="00BC1477" w:rsidP="00BC1477">
      <w:pPr>
        <w:pStyle w:val="Default"/>
        <w:jc w:val="both"/>
        <w:rPr>
          <w:sz w:val="22"/>
          <w:szCs w:val="22"/>
        </w:rPr>
      </w:pPr>
    </w:p>
    <w:p w14:paraId="308F7056" w14:textId="77777777" w:rsidR="00BC1477" w:rsidRPr="00534FC9" w:rsidRDefault="00BC1477" w:rsidP="00BC1477">
      <w:pPr>
        <w:pStyle w:val="Default"/>
        <w:jc w:val="both"/>
        <w:rPr>
          <w:sz w:val="22"/>
          <w:szCs w:val="22"/>
        </w:rPr>
      </w:pPr>
      <w:r w:rsidRPr="00534FC9">
        <w:rPr>
          <w:sz w:val="22"/>
          <w:szCs w:val="22"/>
        </w:rPr>
        <w:t>The overall balance of risks to economic growth in the UK is to the downside</w:t>
      </w:r>
      <w:r>
        <w:rPr>
          <w:sz w:val="22"/>
          <w:szCs w:val="22"/>
        </w:rPr>
        <w:t xml:space="preserve"> and includes;</w:t>
      </w:r>
      <w:r w:rsidRPr="00534FC9">
        <w:rPr>
          <w:sz w:val="22"/>
          <w:szCs w:val="22"/>
        </w:rPr>
        <w:t xml:space="preserve"> </w:t>
      </w:r>
    </w:p>
    <w:p w14:paraId="09D55B40" w14:textId="77777777" w:rsidR="00BC1477" w:rsidRPr="00534FC9" w:rsidRDefault="00BC1477" w:rsidP="00BC1477">
      <w:pPr>
        <w:pStyle w:val="Default"/>
        <w:jc w:val="both"/>
        <w:rPr>
          <w:sz w:val="22"/>
          <w:szCs w:val="22"/>
        </w:rPr>
      </w:pPr>
    </w:p>
    <w:p w14:paraId="591A6F14" w14:textId="77777777" w:rsidR="00BC1477" w:rsidRDefault="00BC1477" w:rsidP="00BC1477">
      <w:pPr>
        <w:pStyle w:val="Default"/>
        <w:jc w:val="both"/>
        <w:rPr>
          <w:sz w:val="22"/>
          <w:szCs w:val="22"/>
        </w:rPr>
      </w:pPr>
      <w:r w:rsidRPr="00534FC9">
        <w:rPr>
          <w:b/>
          <w:bCs/>
          <w:sz w:val="22"/>
          <w:szCs w:val="22"/>
        </w:rPr>
        <w:t xml:space="preserve">Labour and supply shortages </w:t>
      </w:r>
      <w:r w:rsidRPr="00534FC9">
        <w:rPr>
          <w:sz w:val="22"/>
          <w:szCs w:val="22"/>
        </w:rPr>
        <w:t>prove more enduring and disruptive and depress economic activity</w:t>
      </w:r>
      <w:r>
        <w:rPr>
          <w:sz w:val="22"/>
          <w:szCs w:val="22"/>
        </w:rPr>
        <w:t>.</w:t>
      </w:r>
    </w:p>
    <w:p w14:paraId="66244162" w14:textId="77777777" w:rsidR="00BC1477" w:rsidRPr="00534FC9" w:rsidRDefault="00BC1477" w:rsidP="00BC1477">
      <w:pPr>
        <w:pStyle w:val="Default"/>
        <w:jc w:val="both"/>
        <w:rPr>
          <w:sz w:val="22"/>
          <w:szCs w:val="22"/>
        </w:rPr>
      </w:pPr>
    </w:p>
    <w:p w14:paraId="17ED34C1" w14:textId="77777777" w:rsidR="00BC1477" w:rsidRPr="00534FC9" w:rsidRDefault="00BC1477" w:rsidP="00BC1477">
      <w:pPr>
        <w:pStyle w:val="Default"/>
        <w:jc w:val="both"/>
        <w:rPr>
          <w:sz w:val="22"/>
          <w:szCs w:val="22"/>
        </w:rPr>
      </w:pPr>
      <w:r w:rsidRPr="00534FC9">
        <w:rPr>
          <w:b/>
          <w:bCs/>
          <w:sz w:val="22"/>
          <w:szCs w:val="22"/>
        </w:rPr>
        <w:t xml:space="preserve">The Bank of England </w:t>
      </w:r>
      <w:r w:rsidRPr="001A5290">
        <w:rPr>
          <w:b/>
          <w:bCs/>
          <w:sz w:val="22"/>
          <w:szCs w:val="22"/>
        </w:rPr>
        <w:t>acts too quickly</w:t>
      </w:r>
      <w:r w:rsidRPr="00534FC9">
        <w:rPr>
          <w:sz w:val="22"/>
          <w:szCs w:val="22"/>
        </w:rPr>
        <w:t>, or too far, over the next two years to raise Bank Rate and causes UK economic growth to be weaker than we currently anticipate</w:t>
      </w:r>
      <w:r>
        <w:rPr>
          <w:sz w:val="22"/>
          <w:szCs w:val="22"/>
        </w:rPr>
        <w:t>, or</w:t>
      </w:r>
      <w:r w:rsidRPr="00534FC9">
        <w:rPr>
          <w:sz w:val="22"/>
          <w:szCs w:val="22"/>
        </w:rPr>
        <w:t xml:space="preserve"> </w:t>
      </w:r>
    </w:p>
    <w:p w14:paraId="020D9607" w14:textId="77777777" w:rsidR="00BC1477" w:rsidRDefault="00BC1477" w:rsidP="00BC1477">
      <w:pPr>
        <w:pStyle w:val="Default"/>
        <w:jc w:val="both"/>
        <w:rPr>
          <w:sz w:val="22"/>
          <w:szCs w:val="22"/>
        </w:rPr>
      </w:pPr>
    </w:p>
    <w:p w14:paraId="5E4129B6" w14:textId="77777777" w:rsidR="00BC1477" w:rsidRDefault="00BC1477" w:rsidP="00BC1477">
      <w:pPr>
        <w:pStyle w:val="Default"/>
        <w:jc w:val="both"/>
        <w:rPr>
          <w:sz w:val="22"/>
          <w:szCs w:val="22"/>
        </w:rPr>
      </w:pPr>
      <w:r w:rsidRPr="00534FC9">
        <w:rPr>
          <w:sz w:val="22"/>
          <w:szCs w:val="22"/>
        </w:rPr>
        <w:t xml:space="preserve">The </w:t>
      </w:r>
      <w:r w:rsidRPr="00534FC9">
        <w:rPr>
          <w:b/>
          <w:bCs/>
          <w:sz w:val="22"/>
          <w:szCs w:val="22"/>
        </w:rPr>
        <w:t xml:space="preserve">Bank of England is too slow </w:t>
      </w:r>
      <w:r w:rsidRPr="00534FC9">
        <w:rPr>
          <w:sz w:val="22"/>
          <w:szCs w:val="22"/>
        </w:rPr>
        <w:t>in its pace and strength of increases in Bank Rate and, therefore, allows inflationary pressures to build up too strongly and for a longer period within the UK economy</w:t>
      </w:r>
      <w:r>
        <w:rPr>
          <w:sz w:val="22"/>
          <w:szCs w:val="22"/>
        </w:rPr>
        <w:t>.</w:t>
      </w:r>
      <w:r w:rsidRPr="00534FC9">
        <w:rPr>
          <w:sz w:val="22"/>
          <w:szCs w:val="22"/>
        </w:rPr>
        <w:t xml:space="preserve"> </w:t>
      </w:r>
    </w:p>
    <w:p w14:paraId="04EA1A8B" w14:textId="77777777" w:rsidR="00BC1477" w:rsidRPr="00534FC9" w:rsidRDefault="00BC1477" w:rsidP="00BC1477">
      <w:pPr>
        <w:pStyle w:val="Default"/>
        <w:jc w:val="both"/>
        <w:rPr>
          <w:sz w:val="22"/>
          <w:szCs w:val="22"/>
        </w:rPr>
      </w:pPr>
    </w:p>
    <w:p w14:paraId="2408EE6F" w14:textId="77777777" w:rsidR="00BC1477" w:rsidRPr="00534FC9" w:rsidRDefault="00BC1477" w:rsidP="00BC1477">
      <w:pPr>
        <w:pStyle w:val="Default"/>
        <w:jc w:val="both"/>
        <w:rPr>
          <w:sz w:val="22"/>
          <w:szCs w:val="22"/>
        </w:rPr>
      </w:pPr>
      <w:r w:rsidRPr="00534FC9">
        <w:rPr>
          <w:b/>
          <w:bCs/>
          <w:sz w:val="22"/>
          <w:szCs w:val="22"/>
        </w:rPr>
        <w:t xml:space="preserve">UK / EU trade arrangements </w:t>
      </w:r>
      <w:r w:rsidRPr="00534FC9">
        <w:rPr>
          <w:sz w:val="22"/>
          <w:szCs w:val="22"/>
        </w:rPr>
        <w:t xml:space="preserve">– if there was a major impact on trade flows and financial services due to complications or lack of co-operation in sorting out remaining issues. </w:t>
      </w:r>
    </w:p>
    <w:p w14:paraId="05AFEB0D" w14:textId="77777777" w:rsidR="00BC1477" w:rsidRPr="00534FC9" w:rsidRDefault="00BC1477" w:rsidP="00BC1477">
      <w:pPr>
        <w:pStyle w:val="Default"/>
        <w:jc w:val="both"/>
        <w:rPr>
          <w:sz w:val="22"/>
          <w:szCs w:val="22"/>
        </w:rPr>
      </w:pPr>
    </w:p>
    <w:p w14:paraId="48D8F337" w14:textId="77777777" w:rsidR="00BC1477" w:rsidRPr="00534FC9" w:rsidRDefault="00BC1477" w:rsidP="00BC1477">
      <w:pPr>
        <w:pStyle w:val="Default"/>
        <w:jc w:val="both"/>
        <w:rPr>
          <w:sz w:val="22"/>
          <w:szCs w:val="22"/>
        </w:rPr>
      </w:pPr>
      <w:r w:rsidRPr="00534FC9">
        <w:rPr>
          <w:b/>
          <w:bCs/>
          <w:sz w:val="22"/>
          <w:szCs w:val="22"/>
        </w:rPr>
        <w:t xml:space="preserve">Geopolitical risks, </w:t>
      </w:r>
      <w:r w:rsidRPr="00534FC9">
        <w:rPr>
          <w:sz w:val="22"/>
          <w:szCs w:val="22"/>
        </w:rPr>
        <w:t xml:space="preserve">for example in Ukraine/Russia, China/Taiwan/US, Iran, North Korea and Middle Eastern countries, which could lead to increasing safe-haven flows. </w:t>
      </w:r>
    </w:p>
    <w:p w14:paraId="45F7663D" w14:textId="77777777" w:rsidR="00BC1477" w:rsidRPr="00534FC9" w:rsidRDefault="00BC1477" w:rsidP="00BC1477">
      <w:pPr>
        <w:pStyle w:val="Default"/>
        <w:jc w:val="both"/>
        <w:rPr>
          <w:sz w:val="22"/>
          <w:szCs w:val="22"/>
        </w:rPr>
      </w:pPr>
    </w:p>
    <w:p w14:paraId="3F1A0328" w14:textId="77777777" w:rsidR="00BC1477" w:rsidRPr="00534FC9" w:rsidRDefault="00BC1477" w:rsidP="00BC1477">
      <w:pPr>
        <w:pStyle w:val="Default"/>
        <w:jc w:val="both"/>
        <w:rPr>
          <w:color w:val="auto"/>
          <w:sz w:val="22"/>
          <w:szCs w:val="22"/>
        </w:rPr>
      </w:pPr>
      <w:r w:rsidRPr="00534FC9">
        <w:rPr>
          <w:b/>
          <w:bCs/>
          <w:color w:val="auto"/>
          <w:sz w:val="22"/>
          <w:szCs w:val="22"/>
        </w:rPr>
        <w:t xml:space="preserve">The pound weakens </w:t>
      </w:r>
      <w:r w:rsidRPr="00534FC9">
        <w:rPr>
          <w:color w:val="auto"/>
          <w:sz w:val="22"/>
          <w:szCs w:val="22"/>
        </w:rPr>
        <w:t xml:space="preserve">because of a lack of confidence in fiscal policies. </w:t>
      </w:r>
    </w:p>
    <w:p w14:paraId="544CB6A3" w14:textId="77777777" w:rsidR="000A5EC7" w:rsidRPr="00813697" w:rsidRDefault="000A5EC7" w:rsidP="000A5EC7">
      <w:pPr>
        <w:rPr>
          <w:rFonts w:cstheme="minorHAnsi"/>
          <w:color w:val="4F81BD" w:themeColor="accent1"/>
        </w:rPr>
      </w:pPr>
    </w:p>
    <w:p w14:paraId="1E077FA8" w14:textId="77777777" w:rsidR="000A5EC7" w:rsidRPr="00813697" w:rsidRDefault="000A5EC7" w:rsidP="000A5EC7">
      <w:pPr>
        <w:rPr>
          <w:rFonts w:eastAsia="Arial" w:cstheme="minorHAnsi"/>
          <w:b/>
          <w:bCs/>
          <w:color w:val="4F81BD" w:themeColor="accent1"/>
          <w:highlight w:val="yellow"/>
        </w:rPr>
      </w:pPr>
    </w:p>
    <w:p w14:paraId="20B90DD9" w14:textId="77777777" w:rsidR="000A5EC7" w:rsidRPr="00813697" w:rsidRDefault="000A5EC7" w:rsidP="000A5EC7">
      <w:pPr>
        <w:rPr>
          <w:rFonts w:cstheme="minorHAnsi"/>
          <w:color w:val="4F81BD" w:themeColor="accent1"/>
        </w:rPr>
      </w:pPr>
    </w:p>
    <w:p w14:paraId="7655120C" w14:textId="77777777" w:rsidR="000A5EC7" w:rsidRPr="00813697" w:rsidRDefault="000A5EC7" w:rsidP="000A5EC7">
      <w:pPr>
        <w:tabs>
          <w:tab w:val="left" w:pos="2839"/>
        </w:tabs>
        <w:rPr>
          <w:rFonts w:cstheme="minorHAnsi"/>
          <w:color w:val="4F81BD" w:themeColor="accent1"/>
        </w:rPr>
      </w:pPr>
    </w:p>
    <w:p w14:paraId="38A25CDB" w14:textId="77777777" w:rsidR="000A5EC7" w:rsidRPr="00813697" w:rsidRDefault="000A5EC7" w:rsidP="000A5EC7">
      <w:pPr>
        <w:pBdr>
          <w:left w:val="single" w:sz="2" w:space="0" w:color="FFFFFF"/>
          <w:bottom w:val="single" w:sz="2" w:space="2" w:color="FFFFFF"/>
          <w:right w:val="single" w:sz="2" w:space="4" w:color="FFFFFF"/>
        </w:pBdr>
        <w:tabs>
          <w:tab w:val="left" w:pos="567"/>
        </w:tabs>
        <w:rPr>
          <w:rFonts w:cstheme="minorHAnsi"/>
          <w:color w:val="4F81BD" w:themeColor="accent1"/>
        </w:rPr>
      </w:pPr>
    </w:p>
    <w:p w14:paraId="47D11932" w14:textId="77777777" w:rsidR="000A5EC7" w:rsidRPr="00813697" w:rsidRDefault="000A5EC7" w:rsidP="000A5EC7">
      <w:pPr>
        <w:pBdr>
          <w:left w:val="single" w:sz="2" w:space="0" w:color="FFFFFF"/>
          <w:bottom w:val="single" w:sz="2" w:space="2" w:color="FFFFFF"/>
          <w:right w:val="single" w:sz="2" w:space="4" w:color="FFFFFF"/>
        </w:pBdr>
        <w:tabs>
          <w:tab w:val="left" w:pos="567"/>
        </w:tabs>
        <w:rPr>
          <w:rFonts w:cstheme="minorHAnsi"/>
          <w:color w:val="4F81BD" w:themeColor="accent1"/>
        </w:rPr>
      </w:pPr>
    </w:p>
    <w:p w14:paraId="3BC072A0" w14:textId="77777777" w:rsidR="000A5EC7" w:rsidRPr="00813697" w:rsidRDefault="000A5EC7" w:rsidP="000A5EC7">
      <w:pPr>
        <w:pBdr>
          <w:left w:val="single" w:sz="2" w:space="0" w:color="FFFFFF"/>
          <w:bottom w:val="single" w:sz="2" w:space="2" w:color="FFFFFF"/>
          <w:right w:val="single" w:sz="2" w:space="4" w:color="FFFFFF"/>
        </w:pBdr>
        <w:tabs>
          <w:tab w:val="left" w:pos="567"/>
        </w:tabs>
        <w:rPr>
          <w:rFonts w:cstheme="minorHAnsi"/>
          <w:color w:val="4F81BD" w:themeColor="accent1"/>
        </w:rPr>
        <w:sectPr w:rsidR="000A5EC7" w:rsidRPr="00813697" w:rsidSect="00946F45">
          <w:headerReference w:type="first" r:id="rId13"/>
          <w:pgSz w:w="11907" w:h="16840" w:code="9"/>
          <w:pgMar w:top="1134" w:right="1134" w:bottom="851" w:left="1134" w:header="680" w:footer="374" w:gutter="0"/>
          <w:paperSrc w:first="2" w:other="2"/>
          <w:cols w:space="720"/>
          <w:titlePg/>
        </w:sectPr>
      </w:pPr>
    </w:p>
    <w:p w14:paraId="60FA2756" w14:textId="24C6B420" w:rsidR="000A5EC7" w:rsidRPr="003A71FD" w:rsidRDefault="000A5EC7" w:rsidP="000A5EC7">
      <w:pPr>
        <w:pStyle w:val="Heading2"/>
        <w:jc w:val="right"/>
        <w:rPr>
          <w:rFonts w:asciiTheme="minorHAnsi" w:hAnsiTheme="minorHAnsi" w:cstheme="minorHAnsi"/>
          <w:sz w:val="22"/>
          <w:szCs w:val="22"/>
        </w:rPr>
      </w:pPr>
      <w:r w:rsidRPr="003A71FD">
        <w:rPr>
          <w:rFonts w:asciiTheme="minorHAnsi" w:hAnsiTheme="minorHAnsi" w:cstheme="minorHAnsi"/>
          <w:sz w:val="22"/>
          <w:szCs w:val="22"/>
        </w:rPr>
        <w:lastRenderedPageBreak/>
        <w:t xml:space="preserve">APPENDIX </w:t>
      </w:r>
      <w:r w:rsidR="003A71FD" w:rsidRPr="003A71FD">
        <w:rPr>
          <w:rFonts w:asciiTheme="minorHAnsi" w:hAnsiTheme="minorHAnsi" w:cstheme="minorHAnsi"/>
          <w:sz w:val="22"/>
          <w:szCs w:val="22"/>
        </w:rPr>
        <w:t>C</w:t>
      </w:r>
    </w:p>
    <w:p w14:paraId="77C3E575" w14:textId="4A292C55" w:rsidR="000A5EC7" w:rsidRPr="003A71FD" w:rsidRDefault="000A5EC7" w:rsidP="000302B8">
      <w:pPr>
        <w:pStyle w:val="Heading2"/>
        <w:rPr>
          <w:rFonts w:asciiTheme="minorHAnsi" w:hAnsiTheme="minorHAnsi" w:cstheme="minorHAnsi"/>
          <w:sz w:val="22"/>
          <w:szCs w:val="22"/>
        </w:rPr>
      </w:pPr>
      <w:r w:rsidRPr="003A71FD">
        <w:rPr>
          <w:rFonts w:asciiTheme="minorHAnsi" w:hAnsiTheme="minorHAnsi" w:cstheme="minorHAnsi"/>
          <w:sz w:val="22"/>
          <w:szCs w:val="22"/>
        </w:rPr>
        <w:t xml:space="preserve">Updated Interest Rate Forecasts (as at </w:t>
      </w:r>
      <w:r w:rsidR="00265BFB">
        <w:rPr>
          <w:rFonts w:asciiTheme="minorHAnsi" w:hAnsiTheme="minorHAnsi" w:cstheme="minorHAnsi"/>
          <w:sz w:val="22"/>
          <w:szCs w:val="22"/>
        </w:rPr>
        <w:t>8/11/</w:t>
      </w:r>
      <w:r w:rsidRPr="003A71FD">
        <w:rPr>
          <w:rFonts w:asciiTheme="minorHAnsi" w:hAnsiTheme="minorHAnsi" w:cstheme="minorHAnsi"/>
          <w:sz w:val="22"/>
          <w:szCs w:val="22"/>
        </w:rPr>
        <w:t>22)</w:t>
      </w:r>
    </w:p>
    <w:p w14:paraId="74CFDDA3" w14:textId="3F670E2B" w:rsidR="000302B8" w:rsidRPr="00813697" w:rsidRDefault="00265BFB" w:rsidP="000302B8">
      <w:pPr>
        <w:pStyle w:val="Heading2"/>
        <w:rPr>
          <w:rFonts w:asciiTheme="minorHAnsi" w:hAnsiTheme="minorHAnsi" w:cstheme="minorHAnsi"/>
          <w:color w:val="4F81BD" w:themeColor="accent1"/>
          <w:sz w:val="22"/>
          <w:szCs w:val="22"/>
        </w:rPr>
      </w:pPr>
      <w:r>
        <w:rPr>
          <w:noProof/>
          <w:color w:val="4F81BD" w:themeColor="accent1"/>
          <w:sz w:val="22"/>
          <w:szCs w:val="22"/>
        </w:rPr>
        <w:drawing>
          <wp:inline distT="0" distB="0" distL="0" distR="0" wp14:anchorId="6F974F7A" wp14:editId="0B88FE5B">
            <wp:extent cx="8863330" cy="2896456"/>
            <wp:effectExtent l="0" t="0" r="0" b="0"/>
            <wp:docPr id="7" name="Picture 7" descr="221108-Newsflash-Updated-Interest-Rate-Forecast-final.pdf - Adobe Acrobat Reader DC (64-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149CB1.tmp"/>
                    <pic:cNvPicPr/>
                  </pic:nvPicPr>
                  <pic:blipFill rotWithShape="1">
                    <a:blip r:embed="rId14">
                      <a:extLst>
                        <a:ext uri="{28A0092B-C50C-407E-A947-70E740481C1C}">
                          <a14:useLocalDpi xmlns:a14="http://schemas.microsoft.com/office/drawing/2010/main" val="0"/>
                        </a:ext>
                      </a:extLst>
                    </a:blip>
                    <a:srcRect l="9189" t="30547" r="26086" b="48305"/>
                    <a:stretch/>
                  </pic:blipFill>
                  <pic:spPr bwMode="auto">
                    <a:xfrm>
                      <a:off x="0" y="0"/>
                      <a:ext cx="8863330" cy="2896456"/>
                    </a:xfrm>
                    <a:prstGeom prst="rect">
                      <a:avLst/>
                    </a:prstGeom>
                    <a:ln>
                      <a:noFill/>
                    </a:ln>
                    <a:extLst>
                      <a:ext uri="{53640926-AAD7-44D8-BBD7-CCE9431645EC}">
                        <a14:shadowObscured xmlns:a14="http://schemas.microsoft.com/office/drawing/2010/main"/>
                      </a:ext>
                    </a:extLst>
                  </pic:spPr>
                </pic:pic>
              </a:graphicData>
            </a:graphic>
          </wp:inline>
        </w:drawing>
      </w:r>
    </w:p>
    <w:p w14:paraId="3146A3D4" w14:textId="77777777" w:rsidR="000A5EC7" w:rsidRPr="00813697" w:rsidRDefault="000A5EC7" w:rsidP="000A5EC7">
      <w:pPr>
        <w:pBdr>
          <w:left w:val="single" w:sz="2" w:space="0" w:color="FFFFFF"/>
          <w:bottom w:val="single" w:sz="2" w:space="2" w:color="FFFFFF"/>
          <w:right w:val="single" w:sz="2" w:space="4" w:color="FFFFFF"/>
        </w:pBdr>
        <w:tabs>
          <w:tab w:val="left" w:pos="567"/>
        </w:tabs>
        <w:rPr>
          <w:rFonts w:cstheme="minorHAnsi"/>
          <w:color w:val="4F81BD" w:themeColor="accent1"/>
        </w:rPr>
      </w:pPr>
    </w:p>
    <w:p w14:paraId="0136219B" w14:textId="77777777" w:rsidR="000A5EC7" w:rsidRPr="00813697" w:rsidRDefault="000A5EC7" w:rsidP="000179AF">
      <w:pPr>
        <w:spacing w:line="240" w:lineRule="auto"/>
        <w:jc w:val="both"/>
        <w:rPr>
          <w:rFonts w:cstheme="minorHAnsi"/>
          <w:bCs/>
          <w:color w:val="4F81BD" w:themeColor="accent1"/>
        </w:rPr>
      </w:pPr>
    </w:p>
    <w:sectPr w:rsidR="000A5EC7" w:rsidRPr="00813697" w:rsidSect="000302B8">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ADB47" w14:textId="77777777" w:rsidR="00DD694B" w:rsidRDefault="00DD694B">
      <w:pPr>
        <w:spacing w:after="0" w:line="240" w:lineRule="auto"/>
      </w:pPr>
      <w:r>
        <w:separator/>
      </w:r>
    </w:p>
  </w:endnote>
  <w:endnote w:type="continuationSeparator" w:id="0">
    <w:p w14:paraId="2B60E05A" w14:textId="77777777" w:rsidR="00DD694B" w:rsidRDefault="00DD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FE11F" w14:textId="77777777" w:rsidR="00DD694B" w:rsidRDefault="00DD694B">
      <w:pPr>
        <w:spacing w:after="0" w:line="240" w:lineRule="auto"/>
      </w:pPr>
      <w:r>
        <w:separator/>
      </w:r>
    </w:p>
  </w:footnote>
  <w:footnote w:type="continuationSeparator" w:id="0">
    <w:p w14:paraId="2DC1C266" w14:textId="77777777" w:rsidR="00DD694B" w:rsidRDefault="00DD6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A85A7" w14:textId="4F072F3D" w:rsidR="000A5EC7" w:rsidRPr="0075134A" w:rsidRDefault="000A5EC7" w:rsidP="00946F45">
    <w:pPr>
      <w:pStyle w:val="Header"/>
      <w:jc w:val="right"/>
      <w:rPr>
        <w:b/>
        <w:bCs/>
        <w:lang w:val="en-US"/>
      </w:rPr>
    </w:pPr>
    <w:r w:rsidRPr="0075134A">
      <w:rPr>
        <w:b/>
        <w:bCs/>
        <w:lang w:val="en-US"/>
      </w:rPr>
      <w:t xml:space="preserve">APPENDIX </w:t>
    </w:r>
    <w:r w:rsidR="003A71FD">
      <w:rPr>
        <w:b/>
        <w:bCs/>
        <w:lang w:val="en-US"/>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6E43"/>
    <w:multiLevelType w:val="hybridMultilevel"/>
    <w:tmpl w:val="80DC0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5D5E8F"/>
    <w:multiLevelType w:val="hybridMultilevel"/>
    <w:tmpl w:val="97F4E760"/>
    <w:lvl w:ilvl="0" w:tplc="08090001">
      <w:start w:val="1"/>
      <w:numFmt w:val="bullet"/>
      <w:lvlText w:val=""/>
      <w:lvlJc w:val="left"/>
      <w:pPr>
        <w:ind w:left="1361" w:hanging="360"/>
      </w:pPr>
      <w:rPr>
        <w:rFonts w:ascii="Symbol" w:hAnsi="Symbol" w:hint="default"/>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2" w15:restartNumberingAfterBreak="0">
    <w:nsid w:val="0C0D7577"/>
    <w:multiLevelType w:val="hybridMultilevel"/>
    <w:tmpl w:val="ABFED4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B06D2"/>
    <w:multiLevelType w:val="hybridMultilevel"/>
    <w:tmpl w:val="B376530E"/>
    <w:lvl w:ilvl="0" w:tplc="9052277A">
      <w:start w:val="1"/>
      <w:numFmt w:val="decimal"/>
      <w:lvlText w:val="%1."/>
      <w:lvlJc w:val="left"/>
      <w:pPr>
        <w:tabs>
          <w:tab w:val="num" w:pos="567"/>
        </w:tabs>
        <w:ind w:left="567" w:hanging="567"/>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AD3EA0"/>
    <w:multiLevelType w:val="hybridMultilevel"/>
    <w:tmpl w:val="A35215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9AE4FBB"/>
    <w:multiLevelType w:val="hybridMultilevel"/>
    <w:tmpl w:val="164E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6398E"/>
    <w:multiLevelType w:val="hybridMultilevel"/>
    <w:tmpl w:val="97CE4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D682B4B"/>
    <w:multiLevelType w:val="hybridMultilevel"/>
    <w:tmpl w:val="27D0AF2A"/>
    <w:lvl w:ilvl="0" w:tplc="6D723FB8">
      <w:start w:val="1"/>
      <w:numFmt w:val="bullet"/>
      <w:lvlText w:val=""/>
      <w:lvlJc w:val="left"/>
      <w:pPr>
        <w:ind w:left="990" w:hanging="360"/>
      </w:pPr>
      <w:rPr>
        <w:rFonts w:ascii="Symbol" w:hAnsi="Symbol" w:hint="default"/>
      </w:rPr>
    </w:lvl>
    <w:lvl w:ilvl="1" w:tplc="D5EAF6B0" w:tentative="1">
      <w:start w:val="1"/>
      <w:numFmt w:val="bullet"/>
      <w:lvlText w:val="o"/>
      <w:lvlJc w:val="left"/>
      <w:pPr>
        <w:ind w:left="1710" w:hanging="360"/>
      </w:pPr>
      <w:rPr>
        <w:rFonts w:ascii="Courier New" w:hAnsi="Courier New" w:cs="Courier New" w:hint="default"/>
      </w:rPr>
    </w:lvl>
    <w:lvl w:ilvl="2" w:tplc="6AD043F2" w:tentative="1">
      <w:start w:val="1"/>
      <w:numFmt w:val="bullet"/>
      <w:lvlText w:val=""/>
      <w:lvlJc w:val="left"/>
      <w:pPr>
        <w:ind w:left="2430" w:hanging="360"/>
      </w:pPr>
      <w:rPr>
        <w:rFonts w:ascii="Wingdings" w:hAnsi="Wingdings" w:hint="default"/>
      </w:rPr>
    </w:lvl>
    <w:lvl w:ilvl="3" w:tplc="0226BC16" w:tentative="1">
      <w:start w:val="1"/>
      <w:numFmt w:val="bullet"/>
      <w:lvlText w:val=""/>
      <w:lvlJc w:val="left"/>
      <w:pPr>
        <w:ind w:left="3150" w:hanging="360"/>
      </w:pPr>
      <w:rPr>
        <w:rFonts w:ascii="Symbol" w:hAnsi="Symbol" w:hint="default"/>
      </w:rPr>
    </w:lvl>
    <w:lvl w:ilvl="4" w:tplc="1066A08C" w:tentative="1">
      <w:start w:val="1"/>
      <w:numFmt w:val="bullet"/>
      <w:lvlText w:val="o"/>
      <w:lvlJc w:val="left"/>
      <w:pPr>
        <w:ind w:left="3870" w:hanging="360"/>
      </w:pPr>
      <w:rPr>
        <w:rFonts w:ascii="Courier New" w:hAnsi="Courier New" w:cs="Courier New" w:hint="default"/>
      </w:rPr>
    </w:lvl>
    <w:lvl w:ilvl="5" w:tplc="8514F178" w:tentative="1">
      <w:start w:val="1"/>
      <w:numFmt w:val="bullet"/>
      <w:lvlText w:val=""/>
      <w:lvlJc w:val="left"/>
      <w:pPr>
        <w:ind w:left="4590" w:hanging="360"/>
      </w:pPr>
      <w:rPr>
        <w:rFonts w:ascii="Wingdings" w:hAnsi="Wingdings" w:hint="default"/>
      </w:rPr>
    </w:lvl>
    <w:lvl w:ilvl="6" w:tplc="3894D4E4" w:tentative="1">
      <w:start w:val="1"/>
      <w:numFmt w:val="bullet"/>
      <w:lvlText w:val=""/>
      <w:lvlJc w:val="left"/>
      <w:pPr>
        <w:ind w:left="5310" w:hanging="360"/>
      </w:pPr>
      <w:rPr>
        <w:rFonts w:ascii="Symbol" w:hAnsi="Symbol" w:hint="default"/>
      </w:rPr>
    </w:lvl>
    <w:lvl w:ilvl="7" w:tplc="B544834C" w:tentative="1">
      <w:start w:val="1"/>
      <w:numFmt w:val="bullet"/>
      <w:lvlText w:val="o"/>
      <w:lvlJc w:val="left"/>
      <w:pPr>
        <w:ind w:left="6030" w:hanging="360"/>
      </w:pPr>
      <w:rPr>
        <w:rFonts w:ascii="Courier New" w:hAnsi="Courier New" w:cs="Courier New" w:hint="default"/>
      </w:rPr>
    </w:lvl>
    <w:lvl w:ilvl="8" w:tplc="5896FBCC" w:tentative="1">
      <w:start w:val="1"/>
      <w:numFmt w:val="bullet"/>
      <w:lvlText w:val=""/>
      <w:lvlJc w:val="left"/>
      <w:pPr>
        <w:ind w:left="6750" w:hanging="360"/>
      </w:pPr>
      <w:rPr>
        <w:rFonts w:ascii="Wingdings" w:hAnsi="Wingdings" w:hint="default"/>
      </w:rPr>
    </w:lvl>
  </w:abstractNum>
  <w:abstractNum w:abstractNumId="8" w15:restartNumberingAfterBreak="0">
    <w:nsid w:val="3B0324D4"/>
    <w:multiLevelType w:val="hybridMultilevel"/>
    <w:tmpl w:val="0CE2B5E6"/>
    <w:lvl w:ilvl="0" w:tplc="6D9A262E">
      <w:start w:val="1"/>
      <w:numFmt w:val="bullet"/>
      <w:lvlText w:val=""/>
      <w:lvlJc w:val="left"/>
      <w:pPr>
        <w:ind w:left="720" w:hanging="360"/>
      </w:pPr>
      <w:rPr>
        <w:rFonts w:ascii="Symbol" w:hAnsi="Symbol" w:hint="default"/>
        <w:color w:val="7FC444"/>
      </w:rPr>
    </w:lvl>
    <w:lvl w:ilvl="1" w:tplc="08BEA3EA" w:tentative="1">
      <w:start w:val="1"/>
      <w:numFmt w:val="bullet"/>
      <w:lvlText w:val="o"/>
      <w:lvlJc w:val="left"/>
      <w:pPr>
        <w:ind w:left="1800" w:hanging="360"/>
      </w:pPr>
      <w:rPr>
        <w:rFonts w:ascii="Courier New" w:hAnsi="Courier New" w:cs="Courier New" w:hint="default"/>
      </w:rPr>
    </w:lvl>
    <w:lvl w:ilvl="2" w:tplc="F59262A4" w:tentative="1">
      <w:start w:val="1"/>
      <w:numFmt w:val="bullet"/>
      <w:lvlText w:val=""/>
      <w:lvlJc w:val="left"/>
      <w:pPr>
        <w:ind w:left="2520" w:hanging="360"/>
      </w:pPr>
      <w:rPr>
        <w:rFonts w:ascii="Wingdings" w:hAnsi="Wingdings" w:hint="default"/>
      </w:rPr>
    </w:lvl>
    <w:lvl w:ilvl="3" w:tplc="A63A96F6" w:tentative="1">
      <w:start w:val="1"/>
      <w:numFmt w:val="bullet"/>
      <w:lvlText w:val=""/>
      <w:lvlJc w:val="left"/>
      <w:pPr>
        <w:ind w:left="3240" w:hanging="360"/>
      </w:pPr>
      <w:rPr>
        <w:rFonts w:ascii="Symbol" w:hAnsi="Symbol" w:hint="default"/>
      </w:rPr>
    </w:lvl>
    <w:lvl w:ilvl="4" w:tplc="E88618BC" w:tentative="1">
      <w:start w:val="1"/>
      <w:numFmt w:val="bullet"/>
      <w:lvlText w:val="o"/>
      <w:lvlJc w:val="left"/>
      <w:pPr>
        <w:ind w:left="3960" w:hanging="360"/>
      </w:pPr>
      <w:rPr>
        <w:rFonts w:ascii="Courier New" w:hAnsi="Courier New" w:cs="Courier New" w:hint="default"/>
      </w:rPr>
    </w:lvl>
    <w:lvl w:ilvl="5" w:tplc="34002D08" w:tentative="1">
      <w:start w:val="1"/>
      <w:numFmt w:val="bullet"/>
      <w:lvlText w:val=""/>
      <w:lvlJc w:val="left"/>
      <w:pPr>
        <w:ind w:left="4680" w:hanging="360"/>
      </w:pPr>
      <w:rPr>
        <w:rFonts w:ascii="Wingdings" w:hAnsi="Wingdings" w:hint="default"/>
      </w:rPr>
    </w:lvl>
    <w:lvl w:ilvl="6" w:tplc="166C76B0" w:tentative="1">
      <w:start w:val="1"/>
      <w:numFmt w:val="bullet"/>
      <w:lvlText w:val=""/>
      <w:lvlJc w:val="left"/>
      <w:pPr>
        <w:ind w:left="5400" w:hanging="360"/>
      </w:pPr>
      <w:rPr>
        <w:rFonts w:ascii="Symbol" w:hAnsi="Symbol" w:hint="default"/>
      </w:rPr>
    </w:lvl>
    <w:lvl w:ilvl="7" w:tplc="9E1621C0" w:tentative="1">
      <w:start w:val="1"/>
      <w:numFmt w:val="bullet"/>
      <w:lvlText w:val="o"/>
      <w:lvlJc w:val="left"/>
      <w:pPr>
        <w:ind w:left="6120" w:hanging="360"/>
      </w:pPr>
      <w:rPr>
        <w:rFonts w:ascii="Courier New" w:hAnsi="Courier New" w:cs="Courier New" w:hint="default"/>
      </w:rPr>
    </w:lvl>
    <w:lvl w:ilvl="8" w:tplc="1FE63E72" w:tentative="1">
      <w:start w:val="1"/>
      <w:numFmt w:val="bullet"/>
      <w:lvlText w:val=""/>
      <w:lvlJc w:val="left"/>
      <w:pPr>
        <w:ind w:left="6840" w:hanging="360"/>
      </w:pPr>
      <w:rPr>
        <w:rFonts w:ascii="Wingdings" w:hAnsi="Wingdings" w:hint="default"/>
      </w:rPr>
    </w:lvl>
  </w:abstractNum>
  <w:abstractNum w:abstractNumId="9" w15:restartNumberingAfterBreak="0">
    <w:nsid w:val="53EC42E2"/>
    <w:multiLevelType w:val="hybridMultilevel"/>
    <w:tmpl w:val="37ECB20A"/>
    <w:lvl w:ilvl="0" w:tplc="EBD8574C">
      <w:start w:val="1"/>
      <w:numFmt w:val="bullet"/>
      <w:lvlText w:val=""/>
      <w:lvlJc w:val="left"/>
      <w:pPr>
        <w:ind w:left="720" w:hanging="360"/>
      </w:pPr>
      <w:rPr>
        <w:rFonts w:ascii="Symbol" w:hAnsi="Symbol" w:hint="default"/>
        <w:color w:val="auto"/>
      </w:rPr>
    </w:lvl>
    <w:lvl w:ilvl="1" w:tplc="590C84C8" w:tentative="1">
      <w:start w:val="1"/>
      <w:numFmt w:val="bullet"/>
      <w:lvlText w:val="o"/>
      <w:lvlJc w:val="left"/>
      <w:pPr>
        <w:ind w:left="1440" w:hanging="360"/>
      </w:pPr>
      <w:rPr>
        <w:rFonts w:ascii="Courier New" w:hAnsi="Courier New" w:cs="Courier New" w:hint="default"/>
      </w:rPr>
    </w:lvl>
    <w:lvl w:ilvl="2" w:tplc="6EA2C220" w:tentative="1">
      <w:start w:val="1"/>
      <w:numFmt w:val="bullet"/>
      <w:lvlText w:val=""/>
      <w:lvlJc w:val="left"/>
      <w:pPr>
        <w:ind w:left="2160" w:hanging="360"/>
      </w:pPr>
      <w:rPr>
        <w:rFonts w:ascii="Wingdings" w:hAnsi="Wingdings" w:hint="default"/>
      </w:rPr>
    </w:lvl>
    <w:lvl w:ilvl="3" w:tplc="FF4E12DC" w:tentative="1">
      <w:start w:val="1"/>
      <w:numFmt w:val="bullet"/>
      <w:lvlText w:val=""/>
      <w:lvlJc w:val="left"/>
      <w:pPr>
        <w:ind w:left="2880" w:hanging="360"/>
      </w:pPr>
      <w:rPr>
        <w:rFonts w:ascii="Symbol" w:hAnsi="Symbol" w:hint="default"/>
      </w:rPr>
    </w:lvl>
    <w:lvl w:ilvl="4" w:tplc="F6081A50" w:tentative="1">
      <w:start w:val="1"/>
      <w:numFmt w:val="bullet"/>
      <w:lvlText w:val="o"/>
      <w:lvlJc w:val="left"/>
      <w:pPr>
        <w:ind w:left="3600" w:hanging="360"/>
      </w:pPr>
      <w:rPr>
        <w:rFonts w:ascii="Courier New" w:hAnsi="Courier New" w:cs="Courier New" w:hint="default"/>
      </w:rPr>
    </w:lvl>
    <w:lvl w:ilvl="5" w:tplc="CC986AE4" w:tentative="1">
      <w:start w:val="1"/>
      <w:numFmt w:val="bullet"/>
      <w:lvlText w:val=""/>
      <w:lvlJc w:val="left"/>
      <w:pPr>
        <w:ind w:left="4320" w:hanging="360"/>
      </w:pPr>
      <w:rPr>
        <w:rFonts w:ascii="Wingdings" w:hAnsi="Wingdings" w:hint="default"/>
      </w:rPr>
    </w:lvl>
    <w:lvl w:ilvl="6" w:tplc="3D6A6E80" w:tentative="1">
      <w:start w:val="1"/>
      <w:numFmt w:val="bullet"/>
      <w:lvlText w:val=""/>
      <w:lvlJc w:val="left"/>
      <w:pPr>
        <w:ind w:left="5040" w:hanging="360"/>
      </w:pPr>
      <w:rPr>
        <w:rFonts w:ascii="Symbol" w:hAnsi="Symbol" w:hint="default"/>
      </w:rPr>
    </w:lvl>
    <w:lvl w:ilvl="7" w:tplc="C4187964" w:tentative="1">
      <w:start w:val="1"/>
      <w:numFmt w:val="bullet"/>
      <w:lvlText w:val="o"/>
      <w:lvlJc w:val="left"/>
      <w:pPr>
        <w:ind w:left="5760" w:hanging="360"/>
      </w:pPr>
      <w:rPr>
        <w:rFonts w:ascii="Courier New" w:hAnsi="Courier New" w:cs="Courier New" w:hint="default"/>
      </w:rPr>
    </w:lvl>
    <w:lvl w:ilvl="8" w:tplc="672808FE" w:tentative="1">
      <w:start w:val="1"/>
      <w:numFmt w:val="bullet"/>
      <w:lvlText w:val=""/>
      <w:lvlJc w:val="left"/>
      <w:pPr>
        <w:ind w:left="6480" w:hanging="360"/>
      </w:pPr>
      <w:rPr>
        <w:rFonts w:ascii="Wingdings" w:hAnsi="Wingdings" w:hint="default"/>
      </w:rPr>
    </w:lvl>
  </w:abstractNum>
  <w:abstractNum w:abstractNumId="10" w15:restartNumberingAfterBreak="0">
    <w:nsid w:val="597811DD"/>
    <w:multiLevelType w:val="hybridMultilevel"/>
    <w:tmpl w:val="FA5C2D58"/>
    <w:lvl w:ilvl="0" w:tplc="5370508E">
      <w:start w:val="1"/>
      <w:numFmt w:val="decimal"/>
      <w:lvlText w:val="%1."/>
      <w:lvlJc w:val="left"/>
      <w:pPr>
        <w:ind w:left="720" w:hanging="360"/>
      </w:pPr>
    </w:lvl>
    <w:lvl w:ilvl="1" w:tplc="E3501A6C" w:tentative="1">
      <w:start w:val="1"/>
      <w:numFmt w:val="lowerLetter"/>
      <w:lvlText w:val="%2."/>
      <w:lvlJc w:val="left"/>
      <w:pPr>
        <w:ind w:left="1440" w:hanging="360"/>
      </w:pPr>
    </w:lvl>
    <w:lvl w:ilvl="2" w:tplc="E50ED4CE" w:tentative="1">
      <w:start w:val="1"/>
      <w:numFmt w:val="lowerRoman"/>
      <w:lvlText w:val="%3."/>
      <w:lvlJc w:val="right"/>
      <w:pPr>
        <w:ind w:left="2160" w:hanging="180"/>
      </w:pPr>
    </w:lvl>
    <w:lvl w:ilvl="3" w:tplc="816219AA" w:tentative="1">
      <w:start w:val="1"/>
      <w:numFmt w:val="decimal"/>
      <w:lvlText w:val="%4."/>
      <w:lvlJc w:val="left"/>
      <w:pPr>
        <w:ind w:left="2880" w:hanging="360"/>
      </w:pPr>
    </w:lvl>
    <w:lvl w:ilvl="4" w:tplc="042A2FA8" w:tentative="1">
      <w:start w:val="1"/>
      <w:numFmt w:val="lowerLetter"/>
      <w:lvlText w:val="%5."/>
      <w:lvlJc w:val="left"/>
      <w:pPr>
        <w:ind w:left="3600" w:hanging="360"/>
      </w:pPr>
    </w:lvl>
    <w:lvl w:ilvl="5" w:tplc="8E04B7E8" w:tentative="1">
      <w:start w:val="1"/>
      <w:numFmt w:val="lowerRoman"/>
      <w:lvlText w:val="%6."/>
      <w:lvlJc w:val="right"/>
      <w:pPr>
        <w:ind w:left="4320" w:hanging="180"/>
      </w:pPr>
    </w:lvl>
    <w:lvl w:ilvl="6" w:tplc="C0C004CA" w:tentative="1">
      <w:start w:val="1"/>
      <w:numFmt w:val="decimal"/>
      <w:lvlText w:val="%7."/>
      <w:lvlJc w:val="left"/>
      <w:pPr>
        <w:ind w:left="5040" w:hanging="360"/>
      </w:pPr>
    </w:lvl>
    <w:lvl w:ilvl="7" w:tplc="22E65946" w:tentative="1">
      <w:start w:val="1"/>
      <w:numFmt w:val="lowerLetter"/>
      <w:lvlText w:val="%8."/>
      <w:lvlJc w:val="left"/>
      <w:pPr>
        <w:ind w:left="5760" w:hanging="360"/>
      </w:pPr>
    </w:lvl>
    <w:lvl w:ilvl="8" w:tplc="5EF6628A" w:tentative="1">
      <w:start w:val="1"/>
      <w:numFmt w:val="lowerRoman"/>
      <w:lvlText w:val="%9."/>
      <w:lvlJc w:val="right"/>
      <w:pPr>
        <w:ind w:left="6480" w:hanging="180"/>
      </w:pPr>
    </w:lvl>
  </w:abstractNum>
  <w:abstractNum w:abstractNumId="11" w15:restartNumberingAfterBreak="0">
    <w:nsid w:val="5B767C0D"/>
    <w:multiLevelType w:val="hybridMultilevel"/>
    <w:tmpl w:val="BAE6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4D2CDE"/>
    <w:multiLevelType w:val="hybridMultilevel"/>
    <w:tmpl w:val="5B6827D0"/>
    <w:lvl w:ilvl="0" w:tplc="F3BCFCA4">
      <w:start w:val="1"/>
      <w:numFmt w:val="bullet"/>
      <w:lvlText w:val=""/>
      <w:lvlJc w:val="left"/>
      <w:pPr>
        <w:ind w:left="720" w:hanging="360"/>
      </w:pPr>
      <w:rPr>
        <w:rFonts w:ascii="Symbol" w:hAnsi="Symbol" w:hint="default"/>
        <w:color w:val="7FC444"/>
      </w:rPr>
    </w:lvl>
    <w:lvl w:ilvl="1" w:tplc="DF4E68F6" w:tentative="1">
      <w:start w:val="1"/>
      <w:numFmt w:val="bullet"/>
      <w:lvlText w:val="o"/>
      <w:lvlJc w:val="left"/>
      <w:pPr>
        <w:ind w:left="1440" w:hanging="360"/>
      </w:pPr>
      <w:rPr>
        <w:rFonts w:ascii="Courier New" w:hAnsi="Courier New" w:cs="Courier New" w:hint="default"/>
      </w:rPr>
    </w:lvl>
    <w:lvl w:ilvl="2" w:tplc="30B267D0" w:tentative="1">
      <w:start w:val="1"/>
      <w:numFmt w:val="bullet"/>
      <w:lvlText w:val=""/>
      <w:lvlJc w:val="left"/>
      <w:pPr>
        <w:ind w:left="2160" w:hanging="360"/>
      </w:pPr>
      <w:rPr>
        <w:rFonts w:ascii="Wingdings" w:hAnsi="Wingdings" w:hint="default"/>
      </w:rPr>
    </w:lvl>
    <w:lvl w:ilvl="3" w:tplc="06B23EDE" w:tentative="1">
      <w:start w:val="1"/>
      <w:numFmt w:val="bullet"/>
      <w:lvlText w:val=""/>
      <w:lvlJc w:val="left"/>
      <w:pPr>
        <w:ind w:left="2880" w:hanging="360"/>
      </w:pPr>
      <w:rPr>
        <w:rFonts w:ascii="Symbol" w:hAnsi="Symbol" w:hint="default"/>
      </w:rPr>
    </w:lvl>
    <w:lvl w:ilvl="4" w:tplc="57A23952" w:tentative="1">
      <w:start w:val="1"/>
      <w:numFmt w:val="bullet"/>
      <w:lvlText w:val="o"/>
      <w:lvlJc w:val="left"/>
      <w:pPr>
        <w:ind w:left="3600" w:hanging="360"/>
      </w:pPr>
      <w:rPr>
        <w:rFonts w:ascii="Courier New" w:hAnsi="Courier New" w:cs="Courier New" w:hint="default"/>
      </w:rPr>
    </w:lvl>
    <w:lvl w:ilvl="5" w:tplc="86D875D6" w:tentative="1">
      <w:start w:val="1"/>
      <w:numFmt w:val="bullet"/>
      <w:lvlText w:val=""/>
      <w:lvlJc w:val="left"/>
      <w:pPr>
        <w:ind w:left="4320" w:hanging="360"/>
      </w:pPr>
      <w:rPr>
        <w:rFonts w:ascii="Wingdings" w:hAnsi="Wingdings" w:hint="default"/>
      </w:rPr>
    </w:lvl>
    <w:lvl w:ilvl="6" w:tplc="F0A20238" w:tentative="1">
      <w:start w:val="1"/>
      <w:numFmt w:val="bullet"/>
      <w:lvlText w:val=""/>
      <w:lvlJc w:val="left"/>
      <w:pPr>
        <w:ind w:left="5040" w:hanging="360"/>
      </w:pPr>
      <w:rPr>
        <w:rFonts w:ascii="Symbol" w:hAnsi="Symbol" w:hint="default"/>
      </w:rPr>
    </w:lvl>
    <w:lvl w:ilvl="7" w:tplc="8A30D784" w:tentative="1">
      <w:start w:val="1"/>
      <w:numFmt w:val="bullet"/>
      <w:lvlText w:val="o"/>
      <w:lvlJc w:val="left"/>
      <w:pPr>
        <w:ind w:left="5760" w:hanging="360"/>
      </w:pPr>
      <w:rPr>
        <w:rFonts w:ascii="Courier New" w:hAnsi="Courier New" w:cs="Courier New" w:hint="default"/>
      </w:rPr>
    </w:lvl>
    <w:lvl w:ilvl="8" w:tplc="9E4C5618" w:tentative="1">
      <w:start w:val="1"/>
      <w:numFmt w:val="bullet"/>
      <w:lvlText w:val=""/>
      <w:lvlJc w:val="left"/>
      <w:pPr>
        <w:ind w:left="6480" w:hanging="360"/>
      </w:pPr>
      <w:rPr>
        <w:rFonts w:ascii="Wingdings" w:hAnsi="Wingdings" w:hint="default"/>
      </w:rPr>
    </w:lvl>
  </w:abstractNum>
  <w:abstractNum w:abstractNumId="13" w15:restartNumberingAfterBreak="0">
    <w:nsid w:val="5EBF00E5"/>
    <w:multiLevelType w:val="hybridMultilevel"/>
    <w:tmpl w:val="D636561A"/>
    <w:lvl w:ilvl="0" w:tplc="5F26BF86">
      <w:start w:val="1"/>
      <w:numFmt w:val="decimal"/>
      <w:lvlText w:val="%1."/>
      <w:lvlJc w:val="left"/>
      <w:pPr>
        <w:ind w:left="360" w:hanging="360"/>
      </w:pPr>
      <w:rPr>
        <w:rFonts w:ascii="Arial" w:hAnsi="Arial" w:hint="default"/>
        <w:b w:val="0"/>
        <w:bCs w:val="0"/>
        <w:i w:val="0"/>
        <w:color w:val="auto"/>
        <w:sz w:val="22"/>
        <w:szCs w:val="22"/>
      </w:rPr>
    </w:lvl>
    <w:lvl w:ilvl="1" w:tplc="2A60058A">
      <w:start w:val="1"/>
      <w:numFmt w:val="lowerLetter"/>
      <w:lvlText w:val="%2."/>
      <w:lvlJc w:val="left"/>
      <w:pPr>
        <w:ind w:left="1080" w:hanging="360"/>
      </w:pPr>
    </w:lvl>
    <w:lvl w:ilvl="2" w:tplc="BD723DD4" w:tentative="1">
      <w:start w:val="1"/>
      <w:numFmt w:val="lowerRoman"/>
      <w:lvlText w:val="%3."/>
      <w:lvlJc w:val="right"/>
      <w:pPr>
        <w:ind w:left="1800" w:hanging="180"/>
      </w:pPr>
    </w:lvl>
    <w:lvl w:ilvl="3" w:tplc="3C7A9096" w:tentative="1">
      <w:start w:val="1"/>
      <w:numFmt w:val="decimal"/>
      <w:lvlText w:val="%4."/>
      <w:lvlJc w:val="left"/>
      <w:pPr>
        <w:ind w:left="2520" w:hanging="360"/>
      </w:pPr>
    </w:lvl>
    <w:lvl w:ilvl="4" w:tplc="575CDD6A" w:tentative="1">
      <w:start w:val="1"/>
      <w:numFmt w:val="lowerLetter"/>
      <w:lvlText w:val="%5."/>
      <w:lvlJc w:val="left"/>
      <w:pPr>
        <w:ind w:left="3240" w:hanging="360"/>
      </w:pPr>
    </w:lvl>
    <w:lvl w:ilvl="5" w:tplc="E4542CA6" w:tentative="1">
      <w:start w:val="1"/>
      <w:numFmt w:val="lowerRoman"/>
      <w:lvlText w:val="%6."/>
      <w:lvlJc w:val="right"/>
      <w:pPr>
        <w:ind w:left="3960" w:hanging="180"/>
      </w:pPr>
    </w:lvl>
    <w:lvl w:ilvl="6" w:tplc="2DFA52DA" w:tentative="1">
      <w:start w:val="1"/>
      <w:numFmt w:val="decimal"/>
      <w:lvlText w:val="%7."/>
      <w:lvlJc w:val="left"/>
      <w:pPr>
        <w:ind w:left="4680" w:hanging="360"/>
      </w:pPr>
    </w:lvl>
    <w:lvl w:ilvl="7" w:tplc="FF46DAB2" w:tentative="1">
      <w:start w:val="1"/>
      <w:numFmt w:val="lowerLetter"/>
      <w:lvlText w:val="%8."/>
      <w:lvlJc w:val="left"/>
      <w:pPr>
        <w:ind w:left="5400" w:hanging="360"/>
      </w:pPr>
    </w:lvl>
    <w:lvl w:ilvl="8" w:tplc="5B0A110E" w:tentative="1">
      <w:start w:val="1"/>
      <w:numFmt w:val="lowerRoman"/>
      <w:lvlText w:val="%9."/>
      <w:lvlJc w:val="right"/>
      <w:pPr>
        <w:ind w:left="6120" w:hanging="180"/>
      </w:pPr>
    </w:lvl>
  </w:abstractNum>
  <w:abstractNum w:abstractNumId="14" w15:restartNumberingAfterBreak="0">
    <w:nsid w:val="659264DD"/>
    <w:multiLevelType w:val="hybridMultilevel"/>
    <w:tmpl w:val="92C8A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5A41EEF"/>
    <w:multiLevelType w:val="hybridMultilevel"/>
    <w:tmpl w:val="CB6EE35E"/>
    <w:lvl w:ilvl="0" w:tplc="08090001">
      <w:start w:val="1"/>
      <w:numFmt w:val="bullet"/>
      <w:lvlText w:val=""/>
      <w:lvlJc w:val="left"/>
      <w:pPr>
        <w:ind w:left="1361" w:hanging="360"/>
      </w:pPr>
      <w:rPr>
        <w:rFonts w:ascii="Symbol" w:hAnsi="Symbol" w:hint="default"/>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16" w15:restartNumberingAfterBreak="0">
    <w:nsid w:val="687524EC"/>
    <w:multiLevelType w:val="hybridMultilevel"/>
    <w:tmpl w:val="C83AE318"/>
    <w:lvl w:ilvl="0" w:tplc="A128F0F8">
      <w:start w:val="1"/>
      <w:numFmt w:val="bullet"/>
      <w:lvlText w:val=""/>
      <w:lvlJc w:val="left"/>
      <w:pPr>
        <w:ind w:left="720" w:hanging="360"/>
      </w:pPr>
      <w:rPr>
        <w:rFonts w:ascii="Symbol" w:hAnsi="Symbol" w:hint="default"/>
        <w:color w:val="7FC444"/>
      </w:rPr>
    </w:lvl>
    <w:lvl w:ilvl="1" w:tplc="0288964C" w:tentative="1">
      <w:start w:val="1"/>
      <w:numFmt w:val="bullet"/>
      <w:lvlText w:val="o"/>
      <w:lvlJc w:val="left"/>
      <w:pPr>
        <w:ind w:left="1440" w:hanging="360"/>
      </w:pPr>
      <w:rPr>
        <w:rFonts w:ascii="Courier New" w:hAnsi="Courier New" w:cs="Courier New" w:hint="default"/>
      </w:rPr>
    </w:lvl>
    <w:lvl w:ilvl="2" w:tplc="77905754" w:tentative="1">
      <w:start w:val="1"/>
      <w:numFmt w:val="bullet"/>
      <w:lvlText w:val=""/>
      <w:lvlJc w:val="left"/>
      <w:pPr>
        <w:ind w:left="2160" w:hanging="360"/>
      </w:pPr>
      <w:rPr>
        <w:rFonts w:ascii="Wingdings" w:hAnsi="Wingdings" w:hint="default"/>
      </w:rPr>
    </w:lvl>
    <w:lvl w:ilvl="3" w:tplc="C3EE0BFA" w:tentative="1">
      <w:start w:val="1"/>
      <w:numFmt w:val="bullet"/>
      <w:lvlText w:val=""/>
      <w:lvlJc w:val="left"/>
      <w:pPr>
        <w:ind w:left="2880" w:hanging="360"/>
      </w:pPr>
      <w:rPr>
        <w:rFonts w:ascii="Symbol" w:hAnsi="Symbol" w:hint="default"/>
      </w:rPr>
    </w:lvl>
    <w:lvl w:ilvl="4" w:tplc="B3D6BC92" w:tentative="1">
      <w:start w:val="1"/>
      <w:numFmt w:val="bullet"/>
      <w:lvlText w:val="o"/>
      <w:lvlJc w:val="left"/>
      <w:pPr>
        <w:ind w:left="3600" w:hanging="360"/>
      </w:pPr>
      <w:rPr>
        <w:rFonts w:ascii="Courier New" w:hAnsi="Courier New" w:cs="Courier New" w:hint="default"/>
      </w:rPr>
    </w:lvl>
    <w:lvl w:ilvl="5" w:tplc="C00E5F3C" w:tentative="1">
      <w:start w:val="1"/>
      <w:numFmt w:val="bullet"/>
      <w:lvlText w:val=""/>
      <w:lvlJc w:val="left"/>
      <w:pPr>
        <w:ind w:left="4320" w:hanging="360"/>
      </w:pPr>
      <w:rPr>
        <w:rFonts w:ascii="Wingdings" w:hAnsi="Wingdings" w:hint="default"/>
      </w:rPr>
    </w:lvl>
    <w:lvl w:ilvl="6" w:tplc="F440E8FE" w:tentative="1">
      <w:start w:val="1"/>
      <w:numFmt w:val="bullet"/>
      <w:lvlText w:val=""/>
      <w:lvlJc w:val="left"/>
      <w:pPr>
        <w:ind w:left="5040" w:hanging="360"/>
      </w:pPr>
      <w:rPr>
        <w:rFonts w:ascii="Symbol" w:hAnsi="Symbol" w:hint="default"/>
      </w:rPr>
    </w:lvl>
    <w:lvl w:ilvl="7" w:tplc="0F4648C8" w:tentative="1">
      <w:start w:val="1"/>
      <w:numFmt w:val="bullet"/>
      <w:lvlText w:val="o"/>
      <w:lvlJc w:val="left"/>
      <w:pPr>
        <w:ind w:left="5760" w:hanging="360"/>
      </w:pPr>
      <w:rPr>
        <w:rFonts w:ascii="Courier New" w:hAnsi="Courier New" w:cs="Courier New" w:hint="default"/>
      </w:rPr>
    </w:lvl>
    <w:lvl w:ilvl="8" w:tplc="AEAA28BE" w:tentative="1">
      <w:start w:val="1"/>
      <w:numFmt w:val="bullet"/>
      <w:lvlText w:val=""/>
      <w:lvlJc w:val="left"/>
      <w:pPr>
        <w:ind w:left="6480" w:hanging="360"/>
      </w:pPr>
      <w:rPr>
        <w:rFonts w:ascii="Wingdings" w:hAnsi="Wingdings" w:hint="default"/>
      </w:rPr>
    </w:lvl>
  </w:abstractNum>
  <w:abstractNum w:abstractNumId="17" w15:restartNumberingAfterBreak="0">
    <w:nsid w:val="6A157C6D"/>
    <w:multiLevelType w:val="hybridMultilevel"/>
    <w:tmpl w:val="6E7641A4"/>
    <w:lvl w:ilvl="0" w:tplc="08090001">
      <w:start w:val="1"/>
      <w:numFmt w:val="bullet"/>
      <w:lvlText w:val=""/>
      <w:lvlJc w:val="left"/>
      <w:pPr>
        <w:ind w:left="1361" w:hanging="360"/>
      </w:pPr>
      <w:rPr>
        <w:rFonts w:ascii="Symbol" w:hAnsi="Symbol" w:hint="default"/>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18" w15:restartNumberingAfterBreak="0">
    <w:nsid w:val="6E981066"/>
    <w:multiLevelType w:val="hybridMultilevel"/>
    <w:tmpl w:val="29A03522"/>
    <w:lvl w:ilvl="0" w:tplc="3788B940">
      <w:start w:val="1"/>
      <w:numFmt w:val="bullet"/>
      <w:lvlText w:val=""/>
      <w:lvlJc w:val="left"/>
      <w:pPr>
        <w:ind w:left="720" w:hanging="360"/>
      </w:pPr>
      <w:rPr>
        <w:rFonts w:ascii="Symbol" w:hAnsi="Symbol" w:hint="default"/>
        <w:color w:val="7FC444"/>
      </w:rPr>
    </w:lvl>
    <w:lvl w:ilvl="1" w:tplc="4278887E" w:tentative="1">
      <w:start w:val="1"/>
      <w:numFmt w:val="bullet"/>
      <w:lvlText w:val="o"/>
      <w:lvlJc w:val="left"/>
      <w:pPr>
        <w:ind w:left="1440" w:hanging="360"/>
      </w:pPr>
      <w:rPr>
        <w:rFonts w:ascii="Courier New" w:hAnsi="Courier New" w:cs="Courier New" w:hint="default"/>
      </w:rPr>
    </w:lvl>
    <w:lvl w:ilvl="2" w:tplc="D89C6E3A" w:tentative="1">
      <w:start w:val="1"/>
      <w:numFmt w:val="bullet"/>
      <w:lvlText w:val=""/>
      <w:lvlJc w:val="left"/>
      <w:pPr>
        <w:ind w:left="2160" w:hanging="360"/>
      </w:pPr>
      <w:rPr>
        <w:rFonts w:ascii="Wingdings" w:hAnsi="Wingdings" w:hint="default"/>
      </w:rPr>
    </w:lvl>
    <w:lvl w:ilvl="3" w:tplc="3BF81D6E" w:tentative="1">
      <w:start w:val="1"/>
      <w:numFmt w:val="bullet"/>
      <w:lvlText w:val=""/>
      <w:lvlJc w:val="left"/>
      <w:pPr>
        <w:ind w:left="2880" w:hanging="360"/>
      </w:pPr>
      <w:rPr>
        <w:rFonts w:ascii="Symbol" w:hAnsi="Symbol" w:hint="default"/>
      </w:rPr>
    </w:lvl>
    <w:lvl w:ilvl="4" w:tplc="7E3E888E" w:tentative="1">
      <w:start w:val="1"/>
      <w:numFmt w:val="bullet"/>
      <w:lvlText w:val="o"/>
      <w:lvlJc w:val="left"/>
      <w:pPr>
        <w:ind w:left="3600" w:hanging="360"/>
      </w:pPr>
      <w:rPr>
        <w:rFonts w:ascii="Courier New" w:hAnsi="Courier New" w:cs="Courier New" w:hint="default"/>
      </w:rPr>
    </w:lvl>
    <w:lvl w:ilvl="5" w:tplc="491C0658" w:tentative="1">
      <w:start w:val="1"/>
      <w:numFmt w:val="bullet"/>
      <w:lvlText w:val=""/>
      <w:lvlJc w:val="left"/>
      <w:pPr>
        <w:ind w:left="4320" w:hanging="360"/>
      </w:pPr>
      <w:rPr>
        <w:rFonts w:ascii="Wingdings" w:hAnsi="Wingdings" w:hint="default"/>
      </w:rPr>
    </w:lvl>
    <w:lvl w:ilvl="6" w:tplc="D018A54A" w:tentative="1">
      <w:start w:val="1"/>
      <w:numFmt w:val="bullet"/>
      <w:lvlText w:val=""/>
      <w:lvlJc w:val="left"/>
      <w:pPr>
        <w:ind w:left="5040" w:hanging="360"/>
      </w:pPr>
      <w:rPr>
        <w:rFonts w:ascii="Symbol" w:hAnsi="Symbol" w:hint="default"/>
      </w:rPr>
    </w:lvl>
    <w:lvl w:ilvl="7" w:tplc="741CE322" w:tentative="1">
      <w:start w:val="1"/>
      <w:numFmt w:val="bullet"/>
      <w:lvlText w:val="o"/>
      <w:lvlJc w:val="left"/>
      <w:pPr>
        <w:ind w:left="5760" w:hanging="360"/>
      </w:pPr>
      <w:rPr>
        <w:rFonts w:ascii="Courier New" w:hAnsi="Courier New" w:cs="Courier New" w:hint="default"/>
      </w:rPr>
    </w:lvl>
    <w:lvl w:ilvl="8" w:tplc="527A87AC" w:tentative="1">
      <w:start w:val="1"/>
      <w:numFmt w:val="bullet"/>
      <w:lvlText w:val=""/>
      <w:lvlJc w:val="left"/>
      <w:pPr>
        <w:ind w:left="6480" w:hanging="360"/>
      </w:pPr>
      <w:rPr>
        <w:rFonts w:ascii="Wingdings" w:hAnsi="Wingdings" w:hint="default"/>
      </w:rPr>
    </w:lvl>
  </w:abstractNum>
  <w:abstractNum w:abstractNumId="19" w15:restartNumberingAfterBreak="0">
    <w:nsid w:val="734A2187"/>
    <w:multiLevelType w:val="hybridMultilevel"/>
    <w:tmpl w:val="1122C98A"/>
    <w:lvl w:ilvl="0" w:tplc="49B61A02">
      <w:start w:val="23"/>
      <w:numFmt w:val="decimal"/>
      <w:lvlText w:val="%1."/>
      <w:lvlJc w:val="left"/>
      <w:pPr>
        <w:ind w:left="720" w:hanging="360"/>
      </w:pPr>
      <w:rPr>
        <w:rFonts w:asciiTheme="minorHAnsi" w:eastAsiaTheme="minorHAnsi" w:hAnsiTheme="minorHAnsi"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C50F91"/>
    <w:multiLevelType w:val="hybridMultilevel"/>
    <w:tmpl w:val="B1FA4F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C6872A1"/>
    <w:multiLevelType w:val="hybridMultilevel"/>
    <w:tmpl w:val="700E460A"/>
    <w:lvl w:ilvl="0" w:tplc="9B92D04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48E6290A" w:tentative="1">
      <w:start w:val="1"/>
      <w:numFmt w:val="bullet"/>
      <w:lvlText w:val="o"/>
      <w:lvlJc w:val="left"/>
      <w:pPr>
        <w:tabs>
          <w:tab w:val="num" w:pos="1440"/>
        </w:tabs>
        <w:ind w:left="1440" w:hanging="360"/>
      </w:pPr>
      <w:rPr>
        <w:rFonts w:ascii="Courier New" w:hAnsi="Courier New" w:hint="default"/>
      </w:rPr>
    </w:lvl>
    <w:lvl w:ilvl="2" w:tplc="A93624F6" w:tentative="1">
      <w:start w:val="1"/>
      <w:numFmt w:val="bullet"/>
      <w:lvlText w:val=""/>
      <w:lvlJc w:val="left"/>
      <w:pPr>
        <w:tabs>
          <w:tab w:val="num" w:pos="2160"/>
        </w:tabs>
        <w:ind w:left="2160" w:hanging="360"/>
      </w:pPr>
      <w:rPr>
        <w:rFonts w:ascii="Wingdings" w:hAnsi="Wingdings" w:hint="default"/>
      </w:rPr>
    </w:lvl>
    <w:lvl w:ilvl="3" w:tplc="32DED4D6" w:tentative="1">
      <w:start w:val="1"/>
      <w:numFmt w:val="bullet"/>
      <w:lvlText w:val=""/>
      <w:lvlJc w:val="left"/>
      <w:pPr>
        <w:tabs>
          <w:tab w:val="num" w:pos="2880"/>
        </w:tabs>
        <w:ind w:left="2880" w:hanging="360"/>
      </w:pPr>
      <w:rPr>
        <w:rFonts w:ascii="Symbol" w:hAnsi="Symbol" w:hint="default"/>
      </w:rPr>
    </w:lvl>
    <w:lvl w:ilvl="4" w:tplc="B9765EB0" w:tentative="1">
      <w:start w:val="1"/>
      <w:numFmt w:val="bullet"/>
      <w:lvlText w:val="o"/>
      <w:lvlJc w:val="left"/>
      <w:pPr>
        <w:tabs>
          <w:tab w:val="num" w:pos="3600"/>
        </w:tabs>
        <w:ind w:left="3600" w:hanging="360"/>
      </w:pPr>
      <w:rPr>
        <w:rFonts w:ascii="Courier New" w:hAnsi="Courier New" w:hint="default"/>
      </w:rPr>
    </w:lvl>
    <w:lvl w:ilvl="5" w:tplc="E286A93A" w:tentative="1">
      <w:start w:val="1"/>
      <w:numFmt w:val="bullet"/>
      <w:lvlText w:val=""/>
      <w:lvlJc w:val="left"/>
      <w:pPr>
        <w:tabs>
          <w:tab w:val="num" w:pos="4320"/>
        </w:tabs>
        <w:ind w:left="4320" w:hanging="360"/>
      </w:pPr>
      <w:rPr>
        <w:rFonts w:ascii="Wingdings" w:hAnsi="Wingdings" w:hint="default"/>
      </w:rPr>
    </w:lvl>
    <w:lvl w:ilvl="6" w:tplc="BB08C544" w:tentative="1">
      <w:start w:val="1"/>
      <w:numFmt w:val="bullet"/>
      <w:lvlText w:val=""/>
      <w:lvlJc w:val="left"/>
      <w:pPr>
        <w:tabs>
          <w:tab w:val="num" w:pos="5040"/>
        </w:tabs>
        <w:ind w:left="5040" w:hanging="360"/>
      </w:pPr>
      <w:rPr>
        <w:rFonts w:ascii="Symbol" w:hAnsi="Symbol" w:hint="default"/>
      </w:rPr>
    </w:lvl>
    <w:lvl w:ilvl="7" w:tplc="6D4A2364" w:tentative="1">
      <w:start w:val="1"/>
      <w:numFmt w:val="bullet"/>
      <w:lvlText w:val="o"/>
      <w:lvlJc w:val="left"/>
      <w:pPr>
        <w:tabs>
          <w:tab w:val="num" w:pos="5760"/>
        </w:tabs>
        <w:ind w:left="5760" w:hanging="360"/>
      </w:pPr>
      <w:rPr>
        <w:rFonts w:ascii="Courier New" w:hAnsi="Courier New" w:hint="default"/>
      </w:rPr>
    </w:lvl>
    <w:lvl w:ilvl="8" w:tplc="203288A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EF54B2"/>
    <w:multiLevelType w:val="hybridMultilevel"/>
    <w:tmpl w:val="75B62ACE"/>
    <w:lvl w:ilvl="0" w:tplc="4D30C1E8">
      <w:start w:val="1"/>
      <w:numFmt w:val="decimal"/>
      <w:lvlText w:val="%1."/>
      <w:lvlJc w:val="left"/>
      <w:pPr>
        <w:ind w:left="720" w:hanging="360"/>
      </w:pPr>
    </w:lvl>
    <w:lvl w:ilvl="1" w:tplc="938E13DC" w:tentative="1">
      <w:start w:val="1"/>
      <w:numFmt w:val="lowerLetter"/>
      <w:lvlText w:val="%2."/>
      <w:lvlJc w:val="left"/>
      <w:pPr>
        <w:ind w:left="1440" w:hanging="360"/>
      </w:pPr>
    </w:lvl>
    <w:lvl w:ilvl="2" w:tplc="41AE19FC" w:tentative="1">
      <w:start w:val="1"/>
      <w:numFmt w:val="lowerRoman"/>
      <w:lvlText w:val="%3."/>
      <w:lvlJc w:val="right"/>
      <w:pPr>
        <w:ind w:left="2160" w:hanging="180"/>
      </w:pPr>
    </w:lvl>
    <w:lvl w:ilvl="3" w:tplc="2E329416" w:tentative="1">
      <w:start w:val="1"/>
      <w:numFmt w:val="decimal"/>
      <w:lvlText w:val="%4."/>
      <w:lvlJc w:val="left"/>
      <w:pPr>
        <w:ind w:left="2880" w:hanging="360"/>
      </w:pPr>
    </w:lvl>
    <w:lvl w:ilvl="4" w:tplc="7458F8E0" w:tentative="1">
      <w:start w:val="1"/>
      <w:numFmt w:val="lowerLetter"/>
      <w:lvlText w:val="%5."/>
      <w:lvlJc w:val="left"/>
      <w:pPr>
        <w:ind w:left="3600" w:hanging="360"/>
      </w:pPr>
    </w:lvl>
    <w:lvl w:ilvl="5" w:tplc="50DA4932" w:tentative="1">
      <w:start w:val="1"/>
      <w:numFmt w:val="lowerRoman"/>
      <w:lvlText w:val="%6."/>
      <w:lvlJc w:val="right"/>
      <w:pPr>
        <w:ind w:left="4320" w:hanging="180"/>
      </w:pPr>
    </w:lvl>
    <w:lvl w:ilvl="6" w:tplc="85581548" w:tentative="1">
      <w:start w:val="1"/>
      <w:numFmt w:val="decimal"/>
      <w:lvlText w:val="%7."/>
      <w:lvlJc w:val="left"/>
      <w:pPr>
        <w:ind w:left="5040" w:hanging="360"/>
      </w:pPr>
    </w:lvl>
    <w:lvl w:ilvl="7" w:tplc="E47631AE" w:tentative="1">
      <w:start w:val="1"/>
      <w:numFmt w:val="lowerLetter"/>
      <w:lvlText w:val="%8."/>
      <w:lvlJc w:val="left"/>
      <w:pPr>
        <w:ind w:left="5760" w:hanging="360"/>
      </w:pPr>
    </w:lvl>
    <w:lvl w:ilvl="8" w:tplc="50AA087E" w:tentative="1">
      <w:start w:val="1"/>
      <w:numFmt w:val="lowerRoman"/>
      <w:lvlText w:val="%9."/>
      <w:lvlJc w:val="right"/>
      <w:pPr>
        <w:ind w:left="6480" w:hanging="180"/>
      </w:pPr>
    </w:lvl>
  </w:abstractNum>
  <w:num w:numId="1">
    <w:abstractNumId w:val="21"/>
  </w:num>
  <w:num w:numId="2">
    <w:abstractNumId w:val="18"/>
  </w:num>
  <w:num w:numId="3">
    <w:abstractNumId w:val="12"/>
  </w:num>
  <w:num w:numId="4">
    <w:abstractNumId w:val="16"/>
  </w:num>
  <w:num w:numId="5">
    <w:abstractNumId w:val="9"/>
  </w:num>
  <w:num w:numId="6">
    <w:abstractNumId w:val="7"/>
  </w:num>
  <w:num w:numId="7">
    <w:abstractNumId w:val="8"/>
  </w:num>
  <w:num w:numId="8">
    <w:abstractNumId w:val="13"/>
  </w:num>
  <w:num w:numId="9">
    <w:abstractNumId w:val="22"/>
  </w:num>
  <w:num w:numId="10">
    <w:abstractNumId w:val="10"/>
  </w:num>
  <w:num w:numId="11">
    <w:abstractNumId w:val="5"/>
  </w:num>
  <w:num w:numId="12">
    <w:abstractNumId w:val="19"/>
  </w:num>
  <w:num w:numId="13">
    <w:abstractNumId w:val="2"/>
  </w:num>
  <w:num w:numId="14">
    <w:abstractNumId w:val="15"/>
  </w:num>
  <w:num w:numId="15">
    <w:abstractNumId w:val="17"/>
  </w:num>
  <w:num w:numId="16">
    <w:abstractNumId w:val="1"/>
  </w:num>
  <w:num w:numId="17">
    <w:abstractNumId w:val="14"/>
  </w:num>
  <w:num w:numId="18">
    <w:abstractNumId w:val="6"/>
  </w:num>
  <w:num w:numId="19">
    <w:abstractNumId w:val="0"/>
  </w:num>
  <w:num w:numId="20">
    <w:abstractNumId w:val="3"/>
  </w:num>
  <w:num w:numId="21">
    <w:abstractNumId w:val="20"/>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179AF"/>
    <w:rsid w:val="000215E6"/>
    <w:rsid w:val="000302B8"/>
    <w:rsid w:val="00036425"/>
    <w:rsid w:val="000374F1"/>
    <w:rsid w:val="00041F48"/>
    <w:rsid w:val="00044966"/>
    <w:rsid w:val="00045735"/>
    <w:rsid w:val="0005629A"/>
    <w:rsid w:val="0009071E"/>
    <w:rsid w:val="00096621"/>
    <w:rsid w:val="000A0ABA"/>
    <w:rsid w:val="000A5EC7"/>
    <w:rsid w:val="000A672E"/>
    <w:rsid w:val="000C252A"/>
    <w:rsid w:val="000D0185"/>
    <w:rsid w:val="000F14D1"/>
    <w:rsid w:val="000F75CB"/>
    <w:rsid w:val="001073DC"/>
    <w:rsid w:val="00124F04"/>
    <w:rsid w:val="00126587"/>
    <w:rsid w:val="001D2AE7"/>
    <w:rsid w:val="001D44FB"/>
    <w:rsid w:val="001E4117"/>
    <w:rsid w:val="001F01C4"/>
    <w:rsid w:val="001F2DEA"/>
    <w:rsid w:val="00200054"/>
    <w:rsid w:val="0020515A"/>
    <w:rsid w:val="00210AEC"/>
    <w:rsid w:val="00244F92"/>
    <w:rsid w:val="0025620C"/>
    <w:rsid w:val="00265BFB"/>
    <w:rsid w:val="00267038"/>
    <w:rsid w:val="002804C9"/>
    <w:rsid w:val="00282A51"/>
    <w:rsid w:val="00284E95"/>
    <w:rsid w:val="00285328"/>
    <w:rsid w:val="0029538E"/>
    <w:rsid w:val="002A4A7D"/>
    <w:rsid w:val="002A5BA0"/>
    <w:rsid w:val="002B087D"/>
    <w:rsid w:val="002C2BD7"/>
    <w:rsid w:val="002E7196"/>
    <w:rsid w:val="002F485B"/>
    <w:rsid w:val="00301A08"/>
    <w:rsid w:val="00310A74"/>
    <w:rsid w:val="00326BEE"/>
    <w:rsid w:val="00343C9E"/>
    <w:rsid w:val="00350CD2"/>
    <w:rsid w:val="00353936"/>
    <w:rsid w:val="00380522"/>
    <w:rsid w:val="00386C64"/>
    <w:rsid w:val="003A71FD"/>
    <w:rsid w:val="003D53A7"/>
    <w:rsid w:val="003E3722"/>
    <w:rsid w:val="003E3AB0"/>
    <w:rsid w:val="003F44B0"/>
    <w:rsid w:val="0041722B"/>
    <w:rsid w:val="00417780"/>
    <w:rsid w:val="00426603"/>
    <w:rsid w:val="004309DD"/>
    <w:rsid w:val="00432693"/>
    <w:rsid w:val="00454C3E"/>
    <w:rsid w:val="00457821"/>
    <w:rsid w:val="00471F97"/>
    <w:rsid w:val="00474B5C"/>
    <w:rsid w:val="004758E2"/>
    <w:rsid w:val="00483CC4"/>
    <w:rsid w:val="00483E3A"/>
    <w:rsid w:val="004A2F97"/>
    <w:rsid w:val="004B3DAE"/>
    <w:rsid w:val="004D43A1"/>
    <w:rsid w:val="004F6BE3"/>
    <w:rsid w:val="00510168"/>
    <w:rsid w:val="00532176"/>
    <w:rsid w:val="005346DE"/>
    <w:rsid w:val="005671DD"/>
    <w:rsid w:val="00580855"/>
    <w:rsid w:val="00594129"/>
    <w:rsid w:val="005C459D"/>
    <w:rsid w:val="005C5465"/>
    <w:rsid w:val="005D0AF1"/>
    <w:rsid w:val="005D472A"/>
    <w:rsid w:val="005E433C"/>
    <w:rsid w:val="005E7B7A"/>
    <w:rsid w:val="005F5197"/>
    <w:rsid w:val="006149F1"/>
    <w:rsid w:val="00626466"/>
    <w:rsid w:val="00641609"/>
    <w:rsid w:val="00643CD1"/>
    <w:rsid w:val="00663980"/>
    <w:rsid w:val="006670E5"/>
    <w:rsid w:val="006A7267"/>
    <w:rsid w:val="006D1BFF"/>
    <w:rsid w:val="00700D35"/>
    <w:rsid w:val="00706128"/>
    <w:rsid w:val="00707E4F"/>
    <w:rsid w:val="0072268D"/>
    <w:rsid w:val="00723670"/>
    <w:rsid w:val="00742A66"/>
    <w:rsid w:val="00762EFC"/>
    <w:rsid w:val="00774BC4"/>
    <w:rsid w:val="0078397E"/>
    <w:rsid w:val="007A0283"/>
    <w:rsid w:val="007A2E06"/>
    <w:rsid w:val="007A3022"/>
    <w:rsid w:val="007C6A17"/>
    <w:rsid w:val="007D5A61"/>
    <w:rsid w:val="007D6A25"/>
    <w:rsid w:val="007E4749"/>
    <w:rsid w:val="007F0B1C"/>
    <w:rsid w:val="007F4495"/>
    <w:rsid w:val="00811004"/>
    <w:rsid w:val="00813697"/>
    <w:rsid w:val="0085583E"/>
    <w:rsid w:val="008709FF"/>
    <w:rsid w:val="00876315"/>
    <w:rsid w:val="00880B5E"/>
    <w:rsid w:val="00883AC9"/>
    <w:rsid w:val="00890BC2"/>
    <w:rsid w:val="00896225"/>
    <w:rsid w:val="008A4C2F"/>
    <w:rsid w:val="008B3AAC"/>
    <w:rsid w:val="0091027F"/>
    <w:rsid w:val="009157BD"/>
    <w:rsid w:val="00932436"/>
    <w:rsid w:val="009336ED"/>
    <w:rsid w:val="00950D88"/>
    <w:rsid w:val="0096268F"/>
    <w:rsid w:val="00970C43"/>
    <w:rsid w:val="00974AB3"/>
    <w:rsid w:val="0099268D"/>
    <w:rsid w:val="009D625C"/>
    <w:rsid w:val="009E4E0F"/>
    <w:rsid w:val="009E5EA5"/>
    <w:rsid w:val="009F0154"/>
    <w:rsid w:val="00A0164F"/>
    <w:rsid w:val="00A01F9B"/>
    <w:rsid w:val="00A07B9B"/>
    <w:rsid w:val="00A10F46"/>
    <w:rsid w:val="00A2155B"/>
    <w:rsid w:val="00A356DB"/>
    <w:rsid w:val="00A43F90"/>
    <w:rsid w:val="00A47BBC"/>
    <w:rsid w:val="00A47E1E"/>
    <w:rsid w:val="00A54721"/>
    <w:rsid w:val="00A617CA"/>
    <w:rsid w:val="00A6399B"/>
    <w:rsid w:val="00A674B0"/>
    <w:rsid w:val="00A67E86"/>
    <w:rsid w:val="00A77C91"/>
    <w:rsid w:val="00A93FC8"/>
    <w:rsid w:val="00AA0DB2"/>
    <w:rsid w:val="00AC0032"/>
    <w:rsid w:val="00AC416F"/>
    <w:rsid w:val="00AD15F7"/>
    <w:rsid w:val="00AE3404"/>
    <w:rsid w:val="00B00FCE"/>
    <w:rsid w:val="00B34FA4"/>
    <w:rsid w:val="00B56077"/>
    <w:rsid w:val="00B804FD"/>
    <w:rsid w:val="00B84AB3"/>
    <w:rsid w:val="00B96A1E"/>
    <w:rsid w:val="00BC1477"/>
    <w:rsid w:val="00BC25D4"/>
    <w:rsid w:val="00BD0B4E"/>
    <w:rsid w:val="00BE2432"/>
    <w:rsid w:val="00BF1CCE"/>
    <w:rsid w:val="00C352BA"/>
    <w:rsid w:val="00C3676B"/>
    <w:rsid w:val="00C553DF"/>
    <w:rsid w:val="00C56B67"/>
    <w:rsid w:val="00C61A70"/>
    <w:rsid w:val="00C7310F"/>
    <w:rsid w:val="00C836EC"/>
    <w:rsid w:val="00CA04F3"/>
    <w:rsid w:val="00CB1A81"/>
    <w:rsid w:val="00CB5228"/>
    <w:rsid w:val="00CF42B2"/>
    <w:rsid w:val="00CF4687"/>
    <w:rsid w:val="00D016C9"/>
    <w:rsid w:val="00D1305C"/>
    <w:rsid w:val="00D30551"/>
    <w:rsid w:val="00D42695"/>
    <w:rsid w:val="00D4431F"/>
    <w:rsid w:val="00D45061"/>
    <w:rsid w:val="00D617B7"/>
    <w:rsid w:val="00D61DD7"/>
    <w:rsid w:val="00D70240"/>
    <w:rsid w:val="00D75823"/>
    <w:rsid w:val="00D8254A"/>
    <w:rsid w:val="00D839EF"/>
    <w:rsid w:val="00D93E9C"/>
    <w:rsid w:val="00DB00BA"/>
    <w:rsid w:val="00DB30C5"/>
    <w:rsid w:val="00DD694B"/>
    <w:rsid w:val="00DF73E8"/>
    <w:rsid w:val="00DF7476"/>
    <w:rsid w:val="00E06F2E"/>
    <w:rsid w:val="00E1066E"/>
    <w:rsid w:val="00E151B2"/>
    <w:rsid w:val="00E22E70"/>
    <w:rsid w:val="00E9447E"/>
    <w:rsid w:val="00E97C2F"/>
    <w:rsid w:val="00EB395D"/>
    <w:rsid w:val="00EC0007"/>
    <w:rsid w:val="00ED4FF1"/>
    <w:rsid w:val="00EE6CB9"/>
    <w:rsid w:val="00F02674"/>
    <w:rsid w:val="00F15BF5"/>
    <w:rsid w:val="00F3265C"/>
    <w:rsid w:val="00F36489"/>
    <w:rsid w:val="00F44D31"/>
    <w:rsid w:val="00F53FAD"/>
    <w:rsid w:val="00F60644"/>
    <w:rsid w:val="00F729B1"/>
    <w:rsid w:val="00F87123"/>
    <w:rsid w:val="00F929C3"/>
    <w:rsid w:val="00FA7E24"/>
    <w:rsid w:val="00FB169E"/>
    <w:rsid w:val="00FB2F2E"/>
    <w:rsid w:val="00FC048E"/>
    <w:rsid w:val="00FE1CE4"/>
    <w:rsid w:val="00FF2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E20449"/>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3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styleId="Title">
    <w:name w:val="Title"/>
    <w:next w:val="Normal"/>
    <w:link w:val="TitleChar"/>
    <w:uiPriority w:val="10"/>
    <w:qFormat/>
    <w:rsid w:val="00F15BF5"/>
    <w:pPr>
      <w:jc w:val="both"/>
    </w:pPr>
    <w:rPr>
      <w:rFonts w:asciiTheme="majorHAnsi" w:eastAsia="Times New Roman" w:hAnsiTheme="majorHAnsi" w:cstheme="majorHAnsi"/>
      <w:b/>
      <w:bCs/>
      <w:sz w:val="28"/>
      <w:szCs w:val="28"/>
      <w:u w:val="single"/>
      <w:lang w:eastAsia="en-GB"/>
    </w:rPr>
  </w:style>
  <w:style w:type="character" w:customStyle="1" w:styleId="TitleChar">
    <w:name w:val="Title Char"/>
    <w:basedOn w:val="DefaultParagraphFont"/>
    <w:link w:val="Title"/>
    <w:uiPriority w:val="10"/>
    <w:rsid w:val="00F15BF5"/>
    <w:rPr>
      <w:rFonts w:asciiTheme="majorHAnsi" w:eastAsia="Times New Roman" w:hAnsiTheme="majorHAnsi" w:cstheme="majorHAnsi"/>
      <w:b/>
      <w:bCs/>
      <w:sz w:val="28"/>
      <w:szCs w:val="28"/>
      <w:u w:val="single"/>
      <w:lang w:eastAsia="en-GB"/>
    </w:rPr>
  </w:style>
  <w:style w:type="paragraph" w:customStyle="1" w:styleId="Default">
    <w:name w:val="Default"/>
    <w:rsid w:val="00BC147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658503">
      <w:bodyDiv w:val="1"/>
      <w:marLeft w:val="0"/>
      <w:marRight w:val="0"/>
      <w:marTop w:val="0"/>
      <w:marBottom w:val="0"/>
      <w:divBdr>
        <w:top w:val="none" w:sz="0" w:space="0" w:color="auto"/>
        <w:left w:val="none" w:sz="0" w:space="0" w:color="auto"/>
        <w:bottom w:val="none" w:sz="0" w:space="0" w:color="auto"/>
        <w:right w:val="none" w:sz="0" w:space="0" w:color="auto"/>
      </w:divBdr>
    </w:div>
    <w:div w:id="783617545">
      <w:bodyDiv w:val="1"/>
      <w:marLeft w:val="0"/>
      <w:marRight w:val="0"/>
      <w:marTop w:val="0"/>
      <w:marBottom w:val="0"/>
      <w:divBdr>
        <w:top w:val="none" w:sz="0" w:space="0" w:color="auto"/>
        <w:left w:val="none" w:sz="0" w:space="0" w:color="auto"/>
        <w:bottom w:val="none" w:sz="0" w:space="0" w:color="auto"/>
        <w:right w:val="none" w:sz="0" w:space="0" w:color="auto"/>
      </w:divBdr>
    </w:div>
    <w:div w:id="984818118">
      <w:bodyDiv w:val="1"/>
      <w:marLeft w:val="0"/>
      <w:marRight w:val="0"/>
      <w:marTop w:val="0"/>
      <w:marBottom w:val="0"/>
      <w:divBdr>
        <w:top w:val="none" w:sz="0" w:space="0" w:color="auto"/>
        <w:left w:val="none" w:sz="0" w:space="0" w:color="auto"/>
        <w:bottom w:val="none" w:sz="0" w:space="0" w:color="auto"/>
        <w:right w:val="none" w:sz="0" w:space="0" w:color="auto"/>
      </w:divBdr>
    </w:div>
    <w:div w:id="1025836885">
      <w:bodyDiv w:val="1"/>
      <w:marLeft w:val="0"/>
      <w:marRight w:val="0"/>
      <w:marTop w:val="0"/>
      <w:marBottom w:val="0"/>
      <w:divBdr>
        <w:top w:val="none" w:sz="0" w:space="0" w:color="auto"/>
        <w:left w:val="none" w:sz="0" w:space="0" w:color="auto"/>
        <w:bottom w:val="none" w:sz="0" w:space="0" w:color="auto"/>
        <w:right w:val="none" w:sz="0" w:space="0" w:color="auto"/>
      </w:divBdr>
    </w:div>
    <w:div w:id="1279070731">
      <w:bodyDiv w:val="1"/>
      <w:marLeft w:val="0"/>
      <w:marRight w:val="0"/>
      <w:marTop w:val="0"/>
      <w:marBottom w:val="0"/>
      <w:divBdr>
        <w:top w:val="none" w:sz="0" w:space="0" w:color="auto"/>
        <w:left w:val="none" w:sz="0" w:space="0" w:color="auto"/>
        <w:bottom w:val="none" w:sz="0" w:space="0" w:color="auto"/>
        <w:right w:val="none" w:sz="0" w:space="0" w:color="auto"/>
      </w:divBdr>
    </w:div>
    <w:div w:id="1345743191">
      <w:bodyDiv w:val="1"/>
      <w:marLeft w:val="0"/>
      <w:marRight w:val="0"/>
      <w:marTop w:val="0"/>
      <w:marBottom w:val="0"/>
      <w:divBdr>
        <w:top w:val="none" w:sz="0" w:space="0" w:color="auto"/>
        <w:left w:val="none" w:sz="0" w:space="0" w:color="auto"/>
        <w:bottom w:val="none" w:sz="0" w:space="0" w:color="auto"/>
        <w:right w:val="none" w:sz="0" w:space="0" w:color="auto"/>
      </w:divBdr>
    </w:div>
    <w:div w:id="1447844567">
      <w:bodyDiv w:val="1"/>
      <w:marLeft w:val="0"/>
      <w:marRight w:val="0"/>
      <w:marTop w:val="0"/>
      <w:marBottom w:val="0"/>
      <w:divBdr>
        <w:top w:val="none" w:sz="0" w:space="0" w:color="auto"/>
        <w:left w:val="none" w:sz="0" w:space="0" w:color="auto"/>
        <w:bottom w:val="none" w:sz="0" w:space="0" w:color="auto"/>
        <w:right w:val="none" w:sz="0" w:space="0" w:color="auto"/>
      </w:divBdr>
    </w:div>
    <w:div w:id="1804806122">
      <w:bodyDiv w:val="1"/>
      <w:marLeft w:val="0"/>
      <w:marRight w:val="0"/>
      <w:marTop w:val="0"/>
      <w:marBottom w:val="0"/>
      <w:divBdr>
        <w:top w:val="none" w:sz="0" w:space="0" w:color="auto"/>
        <w:left w:val="none" w:sz="0" w:space="0" w:color="auto"/>
        <w:bottom w:val="none" w:sz="0" w:space="0" w:color="auto"/>
        <w:right w:val="none" w:sz="0" w:space="0" w:color="auto"/>
      </w:divBdr>
    </w:div>
    <w:div w:id="201517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5.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D22F337-3A06-4DBF-8C30-CD73C931A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1990</Words>
  <Characters>11346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Steve Kenyon</cp:lastModifiedBy>
  <cp:revision>2</cp:revision>
  <cp:lastPrinted>2014-03-21T13:56:00Z</cp:lastPrinted>
  <dcterms:created xsi:type="dcterms:W3CDTF">2022-11-14T13:31:00Z</dcterms:created>
  <dcterms:modified xsi:type="dcterms:W3CDTF">2022-11-14T13:31:00Z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
  </property>
  <property fmtid="{D5CDD505-2E9C-101B-9397-08002B2CF9AE}" pid="4" name="LeadDirector">
    <vt:lpwstr>Director of Finance and Section 151 Officer</vt:lpwstr>
  </property>
  <property fmtid="{D5CDD505-2E9C-101B-9397-08002B2CF9AE}" pid="5" name="LeadMember">
    <vt:lpwstr/>
  </property>
  <property fmtid="{D5CDD505-2E9C-101B-9397-08002B2CF9AE}" pid="6" name="LeadOfficer">
    <vt:lpwstr>Steve Kenyon</vt:lpwstr>
  </property>
  <property fmtid="{D5CDD505-2E9C-101B-9397-08002B2CF9AE}" pid="7" name="LeadOfficerEmail">
    <vt:lpwstr>steve.kenyon@southribble.gov.uk</vt:lpwstr>
  </property>
  <property fmtid="{D5CDD505-2E9C-101B-9397-08002B2CF9AE}" pid="8" name="LeadOfficerPost">
    <vt:lpwstr>Senior Management Accountant</vt:lpwstr>
  </property>
  <property fmtid="{D5CDD505-2E9C-101B-9397-08002B2CF9AE}" pid="9" name="MeetingDate">
    <vt:lpwstr>Tuesday, 24 May 2022</vt:lpwstr>
  </property>
  <property fmtid="{D5CDD505-2E9C-101B-9397-08002B2CF9AE}" pid="10" name="MeetingDateLegal">
    <vt:lpwstr>MeetingDateLegal</vt:lpwstr>
  </property>
</Properties>
</file>